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Metagenomic Barcoding of Pollen Loads Offers Insights on the Foraging Patterns of Queen Bumble Bees</w:t>
      </w:r>
    </w:p>
    <w:p>
      <w:pPr>
        <w:pStyle w:val="Compact"/>
        <w:numPr>
          <w:ilvl w:val="0"/>
          <w:numId w:val="3"/>
        </w:numPr>
        <w:rPr/>
      </w:pPr>
      <w:r>
        <w:rPr/>
        <w:t>DNA Barcoding has been remarkably successful in nearly all kingdoms of life and has allowed for the rapid analysis of ecological assemblages. Successful DNA barcoding in the plant kingdom has been more difficult than other kingdoms. Due to this understanding plants in ecological contexts and understandings of their synecology in some instances may begin to lag behind other kingdoms.</w:t>
        <w:br/>
      </w:r>
    </w:p>
    <w:p>
      <w:pPr>
        <w:pStyle w:val="Compact"/>
        <w:numPr>
          <w:ilvl w:val="0"/>
          <w:numId w:val="1"/>
        </w:numPr>
        <w:rPr/>
      </w:pPr>
      <w:r>
        <w:rPr/>
        <w:t>Here we utilize hyb-seq, museum studies, and species distribution modelling, to detect the plant species present in pollen loads collected from Queen Bumble Bees.</w:t>
        <w:br/>
      </w:r>
    </w:p>
    <w:p>
      <w:pPr>
        <w:pStyle w:val="Compact"/>
        <w:numPr>
          <w:ilvl w:val="0"/>
          <w:numId w:val="1"/>
        </w:numPr>
        <w:rPr/>
      </w:pPr>
      <w:r>
        <w:rPr/>
        <w:t>By utilizing Species distribution modelling we allow for one to process hyb-seq data, create user specified sequence databases which may use MORE ACCURATE alignment algorithms on personal computers over realistic time periods.</w:t>
        <w:br/>
      </w:r>
    </w:p>
    <w:p>
      <w:pPr>
        <w:pStyle w:val="Compact"/>
        <w:numPr>
          <w:ilvl w:val="0"/>
          <w:numId w:val="1"/>
        </w:numPr>
        <w:rPr/>
      </w:pPr>
      <w:r>
        <w:rPr/>
        <w:t>We show that hyb-seq using the Angiosperms 353 probes, which are currently being used in the largest ever plant systematic endeavor, offers significant promise to metagenomic approaches in real world scenarios.</w:t>
        <w:br/>
      </w:r>
    </w:p>
    <w:p>
      <w:pPr>
        <w:pStyle w:val="Compact"/>
        <w:numPr>
          <w:ilvl w:val="0"/>
          <w:numId w:val="1"/>
        </w:numPr>
        <w:rPr/>
      </w:pPr>
      <w:r>
        <w:rPr/>
        <w:t>We conclude that these probes offer promise for the identification of plant tissue in both single sample, and metasample contexts.</w:t>
      </w:r>
    </w:p>
    <w:p>
      <w:pPr>
        <w:pStyle w:val="Heading1"/>
        <w:rPr/>
      </w:pPr>
      <w:bookmarkStart w:id="0" w:name="introduction"/>
      <w:r>
        <w:rPr/>
        <w:t>1 | INTRODUCTION</w:t>
      </w:r>
    </w:p>
    <w:p>
      <w:pPr>
        <w:pStyle w:val="FirstParagraph"/>
        <w:rPr/>
      </w:pPr>
      <w:r>
        <w:rPr/>
        <w:t>The inability to reliably identify plants down to terminal taxon can limit our understanding of ecosystem function and interactions (Bortolus (</w:t>
      </w:r>
      <w:hyperlink w:anchor="ref-bortolus2008error">
        <w:r>
          <w:rPr>
            <w:rStyle w:val="InternetLink"/>
          </w:rPr>
          <w:t>2008</w:t>
        </w:r>
      </w:hyperlink>
      <w:r>
        <w:rPr/>
        <w:t xml:space="preserve">)). This is especially true for genera where many species are defined upon ecological and behavioral rather than morphological properties, and hence often serve as bioindicators of habitat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xml:space="preserve">)). The lack of species level data can hinder our understanding of the breadth of habitat which some species occupy, and the interactions they have with other species. Current methods to ameliorate this situation include: ignoring these ecologically relevant levels of detail, revisiting plots as diagnostic material becomes temporally available, assistance from taxonomic specialists, or the use of barcoding or other molecular techniques (CITE). The identification of organisms to terminal taxon is often mired by lack of diagnostic characters (e.g.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increasingly the description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And revisiting field sites to identify material using morphological or chemical approaches, can be resource intensive and often does not work.</w:t>
      </w:r>
    </w:p>
    <w:p>
      <w:pPr>
        <w:pStyle w:val="TextBody"/>
        <w:rPr/>
      </w:pPr>
      <w:r>
        <w:rPr/>
        <w:t xml:space="preserve">Recently barcoding (the identification of a sample from a single organism </w:t>
      </w:r>
      <w:r>
        <w:rPr>
          <w:i/>
          <w:iCs/>
        </w:rPr>
        <w:t>e.g.</w:t>
      </w:r>
      <w:r>
        <w:rPr/>
        <w:t xml:space="preserve"> a piece of leaf), and metabarcoding (the identification of a sample containing a mix of organisms </w:t>
      </w:r>
      <w:r>
        <w:rPr>
          <w:i/>
          <w:iCs/>
        </w:rPr>
        <w:t>e.g.</w:t>
      </w:r>
      <w:r>
        <w:rPr/>
        <w:t xml:space="preserve"> soil), have shown considerable promise in all Kingdoms of Life (Ruppert </w:t>
      </w:r>
      <w:r>
        <w:rPr>
          <w:i/>
          <w:iCs/>
        </w:rPr>
        <w:t>et al.</w:t>
      </w:r>
      <w:r>
        <w:rPr/>
        <w:t xml:space="preserve"> (</w:t>
      </w:r>
      <w:hyperlink w:anchor="ref-ruppert2019past">
        <w:r>
          <w:rPr>
            <w:rStyle w:val="InternetLink"/>
          </w:rPr>
          <w:t>2019</w:t>
        </w:r>
      </w:hyperlink>
      <w:r>
        <w:rPr/>
        <w:t>)). With plants the identification of members of certain clades using barcoding has been quite successful (Kress (</w:t>
      </w:r>
      <w:hyperlink w:anchor="ref-kress2017plant">
        <w:r>
          <w:rPr>
            <w:rStyle w:val="InternetLink"/>
          </w:rPr>
          <w:t>2017</w:t>
        </w:r>
      </w:hyperlink>
      <w:r>
        <w:rPr/>
        <w:t xml:space="preserve">)), whereas with many other clades results have been elusive (Liu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however metabarcoding incurs additional challenges to those which exist for the currently implemented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with the high copy number barcodes (e.g. ITS2, </w:t>
      </w:r>
      <w:r>
        <w:rPr>
          <w:i/>
          <w:iCs/>
        </w:rPr>
        <w:t>rbcL</w:t>
      </w:r>
      <w:r>
        <w:rPr/>
        <w:t xml:space="preserve">, </w:t>
      </w:r>
      <w:r>
        <w:rPr>
          <w:i/>
          <w:iCs/>
        </w:rPr>
        <w:t>matK</w:t>
      </w:r>
      <w:r>
        <w:rPr/>
        <w:t xml:space="preserve">, </w:t>
      </w:r>
      <w:r>
        <w:rPr>
          <w:i/>
          <w:iCs/>
        </w:rPr>
        <w:t>trnH-psbA</w:t>
      </w:r>
      <w:r>
        <w:rPr/>
        <w:t xml:space="preserve">) include the utilization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r>
        <w:rPr/>
        <w:t xml:space="preserve">Currently the largest plant systematic endeavor ever undertaken, the Plant and Fungal Tree of Life (PAFTOL) undertaken by the Royal Botanic Gardens Kew, is approaching completion (Baker </w:t>
      </w:r>
      <w:r>
        <w:rPr>
          <w:i/>
          <w:iCs/>
        </w:rPr>
        <w:t>et al.</w:t>
      </w:r>
      <w:r>
        <w:rPr/>
        <w:t xml:space="preserve"> (</w:t>
      </w:r>
      <w:hyperlink w:anchor="ref-baker2021PAFTOL">
        <w:r>
          <w:rPr>
            <w:rStyle w:val="InternetLink"/>
          </w:rPr>
          <w:t>2021a</w:t>
        </w:r>
      </w:hyperlink>
      <w:r>
        <w:rPr/>
        <w:t xml:space="preserve">)). This data set will contain hybridization capture (Hyb-Seq) data from at least one species in each genus of the plant kingdom using the popular Angiosperms353 (A353) probes, at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resulting in over 14,000 represented species. These publicly available data serve to provide a taxonomically comprehensive backbone for plant metabarcoding, and the A353 probes are currently being used in many other plant phylogenetic issues increasing the sampling depth of many clades (Baker </w:t>
      </w:r>
      <w:r>
        <w:rPr>
          <w:i/>
          <w:iCs/>
        </w:rPr>
        <w:t>et al.</w:t>
      </w:r>
      <w:r>
        <w:rPr/>
        <w:t xml:space="preserve"> (</w:t>
      </w:r>
      <w:hyperlink w:anchor="ref-baker2021exploring">
        <w:r>
          <w:rPr>
            <w:rStyle w:val="InternetLink"/>
          </w:rPr>
          <w:t>2021b</w:t>
        </w:r>
      </w:hyperlink>
      <w:r>
        <w:rPr/>
        <w:t xml:space="preserve">)). Data from the 10kP project, which seeks to develop reference genomes from a phylogenetically diverse suite of plants will contribute many more species upon it’s intended completion, now slated to be by 2030, similar projects which seek to sequence high amounts of genomes in geographic regions e.g. the ‘Darwin Tree of Life’ which will sequence all described taxa in Britain and Ireland, are being undertaken which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diversity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xml:space="preserve">)). However, the application of metabarcoding still face challenges relating to the enormity of the genomic data sets and the computational power required to process sequence data. 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p>
    <w:p>
      <w:pPr>
        <w:pStyle w:val="TextBody"/>
        <w:rPr/>
      </w:pPr>
      <w:r>
        <w:rPr/>
        <w:t>To increase the quality of metabarcoding results in plants, we suggest reducing the number of possible plant species candidates by generating user selected sequence databases relevant to the the region of study and its ecological characteristics. To achieve this goal, we first create a list of candidate species using digital collections gleaned from herbaria, survey work, and citizen science (e.g. iNaturalist), from a region exceeding the study area. To these candidate species, modelling approaches - such as logistic regression, may be used to identify taxa which warrant further exploration e.g. modelling to determine their possibility of presence in metabarcoding samples. 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(SDM’s) examine the ecological conditions associated with known occurrence of a species to identify where else in the study area might suitable habitats be found. This approach has the additional benefit of greatly reducing the size of a sequence database, which allows for the usage of genomic size data on personal computers. This approach can also significantly reduce processing time, particularly as as most next-generation sequence data is deposited as raw-sequence reads.</w:t>
      </w:r>
    </w:p>
    <w:p>
      <w:pPr>
        <w:pStyle w:val="TextBody"/>
        <w:rPr/>
      </w:pPr>
      <w:r>
        <w:rPr/>
        <w:t xml:space="preserve">Considerable amounts of species interactions vary both in space and time (CaraDonna </w:t>
      </w:r>
      <w:r>
        <w:rPr>
          <w:i/>
          <w:iCs/>
        </w:rPr>
        <w:t>et al.</w:t>
      </w:r>
      <w:r>
        <w:rPr/>
        <w:t xml:space="preserve"> (</w:t>
      </w:r>
      <w:hyperlink w:anchor="ref-caradonna2021seeing">
        <w:r>
          <w:rPr>
            <w:rStyle w:val="InternetLink"/>
          </w:rPr>
          <w:t>2021</w:t>
        </w:r>
      </w:hyperlink>
      <w:r>
        <w:rPr/>
        <w:t>)). In many regions of the world,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 xml:space="preserve">)), however the overall shorter extent of the active growing season in these systems results in the presence of few to any natural breaks, which reduces the utility of these to operate as filters in the post-processing of sequence matches. Nonetheless, we work develop a general approach which seems 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r>
        <w:rPr/>
        <w:t>We test these metagenomic and informatics approaches to determine whether the foraging record of Queen Bumble Bee’s are consistent across direct observations and the pollen record, an incongruency noted in several floral visitation networks involving smaller bodied fauna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of pollen is a desired result, with several applications, and numerous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The two foraging phases of the Queen Bumble Bee life cycle is essential to 1) increase their weight before diapause,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often represent the most diverse areas in the temperate and oftentimes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p>
    <w:p>
      <w:pPr>
        <w:pStyle w:val="Heading1"/>
        <w:rPr/>
      </w:pPr>
      <w:bookmarkStart w:id="1" w:name="methods"/>
      <w:r>
        <w:rPr/>
        <w:t>2 | METHODS</w:t>
      </w:r>
    </w:p>
    <w:p>
      <w:pPr>
        <w:pStyle w:val="Heading2"/>
        <w:rPr/>
      </w:pPr>
      <w:bookmarkStart w:id="2" w:name="study-system-field-work"/>
      <w:r>
        <w:rPr/>
        <w:t>Study System &amp; Field Work</w:t>
      </w:r>
    </w:p>
    <w:p>
      <w:pPr>
        <w:pStyle w:val="FirstParagraph"/>
        <w:rPr/>
      </w:pPr>
      <w:r>
        <w:rPr/>
        <w:t xml:space="preserve">Observations and sample collection was conducted at The Rocky Mountain Biological Laboratory (RMBL; 38°57.5” N, 106°59.3” W (WGS 84), 2900 m.a.s.l.), Colorado, USA (APPENDIX 1 for site information). Pollinator observations of </w:t>
      </w:r>
      <w:r>
        <w:rPr>
          <w:i/>
          <w:iCs/>
        </w:rPr>
        <w:t>Bombus</w:t>
      </w:r>
      <w:r>
        <w:rPr/>
        <w:t xml:space="preserve"> Latreille spp. (Apidae Latreille) were conducted from June - August of 2015 in six study sites characterized by high-montane/subalpine Parkland vegetation communities. Observations of </w:t>
      </w:r>
      <w:r>
        <w:rPr>
          <w:i/>
          <w:iCs/>
        </w:rPr>
        <w:t>Bombus</w:t>
      </w:r>
      <w:r>
        <w:rPr/>
        <w:t xml:space="preserve"> foraging took place for one hour at each field site in three 100m transects, where all flowers were also counted and placed into abundance bins. Corbiculae loads were, non-lethally, collected once from all Queen individuals encountered.</w:t>
      </w:r>
    </w:p>
    <w:p>
      <w:pPr>
        <w:pStyle w:val="Heading3"/>
        <w:rPr/>
      </w:pPr>
      <w:bookmarkStart w:id="3" w:name="spatial-analyses"/>
      <w:r>
        <w:rPr/>
        <w:t>2.1 | Spatial Analyses</w:t>
      </w:r>
    </w:p>
    <w:p>
      <w:pPr>
        <w:pStyle w:val="Heading4"/>
        <w:rPr/>
      </w:pPr>
      <w:bookmarkStart w:id="4" w:name="candidate-species"/>
      <w:r>
        <w:rPr/>
        <w:t>2.1.1 Candidate Species</w:t>
      </w:r>
    </w:p>
    <w:p>
      <w:pPr>
        <w:pStyle w:val="FirstParagraph"/>
        <w:rPr/>
      </w:pPr>
      <w:r>
        <w:rPr/>
        <w:t>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 . We then generated Species Distribution Models (SDMs) to predict their distribution throughout the study area. These maps of potential distribution served as a reference to reduce the list of species to include in the genomic sequence databases.</w:t>
      </w:r>
    </w:p>
    <w:p>
      <w:pPr>
        <w:pStyle w:val="TextBody"/>
        <w:rPr/>
      </w:pPr>
      <w:bookmarkStart w:id="5" w:name="candidate-species"/>
      <w:r>
        <w:rPr/>
        <w:t>In order to minimise the number of species for which SDM’s were to be generated, BIEN was queried at a distance of up to 100km from our study area and all plant species records were downloaded. In order to emulate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5"/>
    </w:p>
    <w:p>
      <w:pPr>
        <w:pStyle w:val="Heading4"/>
        <w:rPr/>
      </w:pPr>
      <w:bookmarkStart w:id="6" w:name="distribution-modelling"/>
      <w:r>
        <w:rPr/>
        <w:t>2.1.2 Distribution Modelling</w:t>
      </w:r>
    </w:p>
    <w:p>
      <w:pPr>
        <w:pStyle w:val="FirstParagraph"/>
        <w:rPr/>
      </w:pPr>
      <w:r>
        <w:rPr/>
        <w:t xml:space="preserve">We used all occurrence records from BIEN (n = 23,919) within a 50km border of the Omernik level 3 ecoregion, which includes the study 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xml:space="preserve">)). </w:t>
      </w:r>
      <w:r>
        <w:rPr>
          <w:b/>
          <w:bCs/>
        </w:rPr>
        <w:t>Ensembled predictions have been shown to outperform their constituent models, on average, and to reduce the ecological signal to the analytical noise of individual runs (Araujo &amp; New (</w:t>
      </w:r>
      <w:hyperlink w:anchor="ref-araujo2007ensemble">
        <w:r>
          <w:rPr>
            <w:rStyle w:val="InternetLink"/>
            <w:b/>
            <w:bCs/>
          </w:rPr>
          <w:t>2007</w:t>
        </w:r>
      </w:hyperlink>
      <w:r>
        <w:rPr>
          <w:b/>
          <w:bCs/>
        </w:rPr>
        <w:t xml:space="preserve">)). No single method of producing SDMs has been shown to universally outperform others when faced with a large and diverse number of applications, in our case a great number of species with differing biologies and ecologies (Elith* </w:t>
      </w:r>
      <w:r>
        <w:rPr>
          <w:b/>
          <w:bCs/>
          <w:i/>
          <w:iCs/>
        </w:rPr>
        <w:t>et al.</w:t>
      </w:r>
      <w:r>
        <w:rPr>
          <w:b/>
          <w:bCs/>
        </w:rPr>
        <w:t xml:space="preserve"> (</w:t>
      </w:r>
      <w:hyperlink w:anchor="ref-elith2006novel">
        <w:r>
          <w:rPr>
            <w:rStyle w:val="InternetLink"/>
            <w:b/>
            <w:bCs/>
          </w:rPr>
          <w:t>2006</w:t>
        </w:r>
      </w:hyperlink>
      <w:r>
        <w:rPr>
          <w:b/>
          <w:bCs/>
        </w:rPr>
        <w:t xml:space="preserve">), Qiao </w:t>
      </w:r>
      <w:r>
        <w:rPr>
          <w:b/>
          <w:bCs/>
          <w:i/>
          <w:iCs/>
        </w:rPr>
        <w:t>et al.</w:t>
      </w:r>
      <w:r>
        <w:rPr>
          <w:b/>
          <w:bCs/>
        </w:rPr>
        <w:t xml:space="preserve"> (</w:t>
      </w:r>
      <w:hyperlink w:anchor="ref-qiao2015no">
        <w:r>
          <w:rPr>
            <w:rStyle w:val="InternetLink"/>
            <w:b/>
            <w:bCs/>
          </w:rPr>
          <w:t>2015</w:t>
        </w:r>
      </w:hyperlink>
      <w:r>
        <w:rPr>
          <w:b/>
          <w:bCs/>
        </w:rPr>
        <w:t xml:space="preserve">)). In the spirit of these findings, multiple families of models, which can be generated together as they have similar requirements regarding the number and ratios of Presence to Absence records were ensembled together (Barbet-Massin </w:t>
      </w:r>
      <w:r>
        <w:rPr>
          <w:b/>
          <w:bCs/>
          <w:i/>
          <w:iCs/>
        </w:rPr>
        <w:t>et al.</w:t>
      </w:r>
      <w:r>
        <w:rPr>
          <w:b/>
          <w:bCs/>
        </w:rPr>
        <w:t xml:space="preserve"> (</w:t>
      </w:r>
      <w:hyperlink w:anchor="ref-barbet2012selecting">
        <w:r>
          <w:rPr>
            <w:rStyle w:val="InternetLink"/>
            <w:b/>
            <w:bCs/>
          </w:rPr>
          <w:t>2012</w:t>
        </w:r>
      </w:hyperlink>
      <w:r>
        <w:rPr>
          <w:b/>
          <w:bCs/>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To predict the potential distribution of each species 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535 species were modelled using Generalized Linear Models and Generalized Additive Models.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2"/>
      <w:bookmarkEnd w:id="3"/>
      <w:bookmarkEnd w:id="6"/>
    </w:p>
    <w:p>
      <w:pPr>
        <w:pStyle w:val="Heading2"/>
        <w:rPr/>
      </w:pPr>
      <w:bookmarkStart w:id="7" w:name="molecular-lab-work"/>
      <w:r>
        <w:rPr/>
        <w:t>2.2 | Molecular Lab Work</w:t>
      </w:r>
    </w:p>
    <w:p>
      <w:pPr>
        <w:pStyle w:val="FirstParagraph"/>
        <w:rPr/>
      </w:pPr>
      <w:r>
        <w:rPr/>
        <w:t>All lab work was carried out at The Daniel F. and Ada L. Rice Plant Conservation Science Center at the Chicago Botanic Garden, Glencoe, Illinois, U.S.A.</w:t>
      </w:r>
    </w:p>
    <w:p>
      <w:pPr>
        <w:pStyle w:val="Heading4"/>
        <w:rPr/>
      </w:pPr>
      <w:bookmarkStart w:id="8" w:name="reference-plant-library-generation"/>
      <w:r>
        <w:rPr/>
        <w:t>2.2.1 | Reference Plant Library Generation</w:t>
      </w:r>
    </w:p>
    <w:p>
      <w:pPr>
        <w:pStyle w:val="FirstParagraph"/>
        <w:rPr/>
      </w:pPr>
      <w:r>
        <w:rPr/>
        <w:t xml:space="preserve">Using five years (2015-2020) of observational data on </w:t>
      </w:r>
      <w:r>
        <w:rPr>
          <w:i/>
          <w:iCs/>
        </w:rPr>
        <w:t>Bombus</w:t>
      </w:r>
      <w:r>
        <w:rPr/>
        <w:t xml:space="preserve"> Queen Bee foraging at these studies sites, we identified the plant taxa most frequently visited by Queens across all years. We sequenced the 12 most commonly visited taxa twice using samples from one site within the Gunnison Basin River Drainage and one individual from another more distal population. In addition, for any of these 12 focal species which did not have a congener pair in this filtered sample, we included a congener - or a species from a closely related genus to serve as an outgroup. We also sequenced another 15 abundant taxa commonly visited by </w:t>
      </w:r>
      <w:r>
        <w:rPr>
          <w:i/>
          <w:iCs/>
        </w:rPr>
        <w:t>Bombus</w:t>
      </w:r>
      <w:r>
        <w:rPr/>
        <w:t xml:space="preserve"> workers, based on the abundances, and immediate access to plant tissue, in the aforementioned data set (</w:t>
      </w:r>
      <w:r>
        <w:rPr>
          <w:i/>
          <w:iCs/>
        </w:rPr>
        <w:t>APPENDIX 4</w:t>
      </w:r>
      <w:r>
        <w:rPr/>
        <w:t>). Plant collections were identified via a variety, and typically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8"/>
    </w:p>
    <w:p>
      <w:pPr>
        <w:pStyle w:val="Heading4"/>
        <w:rPr/>
      </w:pPr>
      <w:bookmarkStart w:id="9" w:name="plant-genomic-dna-extraction"/>
      <w:r>
        <w:rPr/>
        <w:t>2.2.2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9"/>
    </w:p>
    <w:p>
      <w:pPr>
        <w:pStyle w:val="Heading4"/>
        <w:rPr/>
      </w:pPr>
      <w:bookmarkStart w:id="10" w:name="pollen-genomic-dna-extraction"/>
      <w:r>
        <w:rPr/>
        <w:t>2.2.3 | Pollen Genomic DNA Extraction</w:t>
      </w:r>
    </w:p>
    <w:p>
      <w:pPr>
        <w:pStyle w:val="FirstParagraph"/>
        <w:rPr/>
      </w:pPr>
      <w:r>
        <w:rPr/>
        <w:t>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0"/>
    </w:p>
    <w:p>
      <w:pPr>
        <w:pStyle w:val="Heading4"/>
        <w:rPr/>
      </w:pPr>
      <w:bookmarkStart w:id="11" w:name="X9da7fbf07d7975dad4b594549377e03f2b195c7"/>
      <w:r>
        <w:rPr/>
        <w:t>2.2.4 | Fragmentation, Library Preparation &amp; Target Enrichment</w:t>
      </w:r>
    </w:p>
    <w:p>
      <w:pPr>
        <w:pStyle w:val="FirstParagraph"/>
        <w:rPr/>
      </w:pPr>
      <w:bookmarkStart w:id="12" w:name="X9da7fbf07d7975dad4b594549377e03f2b195c7"/>
      <w:r>
        <w:rPr/>
        <w:t>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with ½ volume of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2"/>
    </w:p>
    <w:p>
      <w:pPr>
        <w:pStyle w:val="Heading3"/>
        <w:rPr/>
      </w:pPr>
      <w:bookmarkStart w:id="13" w:name="computational-processes-and-analyses."/>
      <w:r>
        <w:rPr/>
        <w:t>2.2.5 | Computational Processes and Analyses.</w:t>
      </w:r>
    </w:p>
    <w:p>
      <w:pPr>
        <w:pStyle w:val="Heading4"/>
        <w:rPr/>
      </w:pPr>
      <w:bookmarkStart w:id="14" w:name="reference-library-data-processing"/>
      <w:r>
        <w:rPr/>
        <w:t>2.2.5.1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were generated using HybPiper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4"/>
    </w:p>
    <w:p>
      <w:pPr>
        <w:pStyle w:val="Heading4"/>
        <w:rPr/>
      </w:pPr>
      <w:bookmarkStart w:id="15" w:name="sequence-identification"/>
      <w:r>
        <w:rPr/>
        <w:t>2.2.5.2 | Sequence Identification</w:t>
      </w:r>
    </w:p>
    <w:p>
      <w:pPr>
        <w:pStyle w:val="FirstParagraph"/>
        <w:rPr/>
      </w:pPr>
      <w:r>
        <w:rPr/>
        <w:t xml:space="preserve">A custom Kraken2 database was created by downloading representative species of each genus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These sequences were processed in the same manner as our novel sequences. The Kraken2 database was built using default parameters. Kraken2 was run on sequences using default parameters (</w:t>
      </w:r>
      <w:r>
        <w:rPr>
          <w:i/>
          <w:iCs/>
        </w:rPr>
        <w:t>APPENDIX 5</w:t>
      </w:r>
      <w:r>
        <w:rPr/>
        <w:t xml:space="preserve">). Following Kraken2, Bracken was used to classify sequences to terminal taxa (Lu </w:t>
      </w:r>
      <w:r>
        <w:rPr>
          <w:i/>
          <w:iCs/>
        </w:rPr>
        <w:t>et al.</w:t>
      </w:r>
      <w:r>
        <w:rPr/>
        <w:t xml:space="preserve"> (</w:t>
      </w:r>
      <w:hyperlink w:anchor="ref-lu2017bracken">
        <w:r>
          <w:rPr>
            <w:rStyle w:val="InternetLink"/>
          </w:rPr>
          <w:t>2017</w:t>
        </w:r>
      </w:hyperlink>
      <w:r>
        <w:rPr/>
        <w:t xml:space="preserve">)).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 The re-coding of sequences from another representative species for the genus to the sole RMBL representative allowed the identification of </w:t>
      </w:r>
      <w:r>
        <w:rPr>
          <w:i/>
          <w:iCs/>
        </w:rPr>
        <w:t>XX &amp; %</w:t>
      </w:r>
      <w:r>
        <w:rPr/>
        <w:t xml:space="preserve"> more species.</w:t>
      </w:r>
      <w:bookmarkEnd w:id="15"/>
    </w:p>
    <w:p>
      <w:pPr>
        <w:pStyle w:val="Heading4"/>
        <w:rPr/>
      </w:pPr>
      <w:bookmarkStart w:id="16" w:name="identification-of-sequence-matching-loci"/>
      <w:r>
        <w:rPr/>
        <w:t>2.2.5.3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7"/>
      <w:bookmarkEnd w:id="13"/>
      <w:bookmarkEnd w:id="16"/>
    </w:p>
    <w:p>
      <w:pPr>
        <w:pStyle w:val="Heading2"/>
        <w:rPr/>
      </w:pPr>
      <w:bookmarkStart w:id="17" w:name="morphological-pollen-identification"/>
      <w:r>
        <w:rPr/>
        <w:t>2.2.5.4 | Morphological Pollen identification</w:t>
      </w:r>
    </w:p>
    <w:p>
      <w:pPr>
        <w:pStyle w:val="FirstParagraph"/>
        <w:rPr/>
      </w:pPr>
      <w:r>
        <w:rPr/>
        <w:t>To develop 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(Ogilvie unpublished),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 accessioned herbarium collections to supplement the number of species and clades covered (Appendix 3).</w:t>
        <w:b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 xml:space="preserve">)), of these results morphological groups of pollen which could not be resolved via microscopy were delineated, and a dichotomous key was prepared (APPENDIX NO.). This key was then used to identify the pollen grains sampled from corbiculae loads to morphotypes in a consistent manner. To prepare the pollen slides from corbiculae, all corbiculae loads were broken apart and rolled using dissection needlepoints to increase heterogeneity of samples. </w:t>
      </w:r>
      <w:r>
        <w:rPr>
          <w:i/>
          <w:iCs/>
        </w:rPr>
        <w:t>Cerca</w:t>
      </w:r>
      <w:r>
        <w:rPr/>
        <w:t xml:space="preserve">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to prevent oxidation; all samples are noted in </w:t>
      </w:r>
      <w:r>
        <w:rPr>
          <w:i/>
          <w:iCs/>
        </w:rPr>
        <w:t>APPENDIX 3</w:t>
      </w:r>
      <w:r>
        <w:rPr/>
        <w:t xml:space="preserve">.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an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p>
    <w:p>
      <w:pPr>
        <w:pStyle w:val="Heading3"/>
        <w:rPr/>
      </w:pPr>
      <w:bookmarkStart w:id="18" w:name="temporal-analyses"/>
      <w:r>
        <w:rPr/>
        <w:t>2.3 | Temporal Analyses</w:t>
      </w:r>
    </w:p>
    <w:p>
      <w:pPr>
        <w:pStyle w:val="FirstParagraph"/>
        <w:rPr/>
      </w:pPr>
      <w:r>
        <w:rPr/>
        <w:t xml:space="preserve">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be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w:t>
      </w:r>
      <w:bookmarkEnd w:id="18"/>
    </w:p>
    <w:p>
      <w:pPr>
        <w:pStyle w:val="Heading3"/>
        <w:rPr/>
      </w:pPr>
      <w:bookmarkStart w:id="19" w:name="methods"/>
      <w:bookmarkStart w:id="20" w:name="morphological-pollen-identification"/>
      <w:bookmarkStart w:id="21" w:name="floral-observations"/>
      <w:r>
        <w:rPr/>
        <w:t>2.4 | Floral Observations</w:t>
      </w:r>
      <w:bookmarkEnd w:id="19"/>
      <w:bookmarkEnd w:id="20"/>
      <w:bookmarkEnd w:id="21"/>
    </w:p>
    <w:p>
      <w:pPr>
        <w:pStyle w:val="Heading1"/>
        <w:rPr/>
      </w:pPr>
      <w:bookmarkStart w:id="22" w:name="results"/>
      <w:r>
        <w:rPr/>
        <w:t>3 | RESULTS</w:t>
      </w:r>
    </w:p>
    <w:p>
      <w:pPr>
        <w:pStyle w:val="Heading2"/>
        <w:rPr/>
      </w:pPr>
      <w:bookmarkStart w:id="23" w:name="spatial-analyses-1"/>
      <w:r>
        <w:rPr/>
        <w:t>3.1 | Spatial Analyses</w:t>
      </w:r>
    </w:p>
    <w:p>
      <w:pPr>
        <w:pStyle w:val="TextBody"/>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4" w:name="spatial-analyses-1"/>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4"/>
    </w:p>
    <w:p>
      <w:pPr>
        <w:pStyle w:val="Heading2"/>
        <w:rPr/>
      </w:pPr>
      <w:bookmarkStart w:id="25" w:name="microscopic-pollen-identification"/>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60 samples were counted and based on rarefaction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all samples had expected morphotype diversity reach the asymptote </w:t>
      </w:r>
      <w:r>
        <w:rPr>
          <w:i/>
          <w:iCs/>
        </w:rPr>
        <w:t>APPENDIX 8</w:t>
      </w:r>
      <w:r>
        <w:rPr/>
        <w:t>. The number of counted pollen grains in each sample range from (</w:t>
      </w:r>
      <w:r>
        <w:rPr>
          <w:i/>
          <w:iCs/>
        </w:rPr>
        <w:t>MIN</w:t>
      </w:r>
      <w:r>
        <w:rPr/>
        <w:t xml:space="preserve"> - 16,293, </w:t>
      </w:r>
      <w:r>
        <w:rPr/>
      </w:r>
      <m:oMath xmlns:m="http://schemas.openxmlformats.org/officeDocument/2006/math">
        <m:acc>
          <m:accPr>
            <m:chr m:val="´"/>
          </m:accPr>
          <m:e>
            <m:r>
              <w:rPr>
                <w:rFonts w:ascii="Cambria Math" w:hAnsi="Cambria Math"/>
              </w:rPr>
              <m:t xml:space="preserve">x</m:t>
            </m:r>
          </m:e>
        </m:acc>
      </m:oMath>
      <w:r>
        <w:rPr/>
        <w:t xml:space="preserve"> = 2788.685, Mdn = 1453).</w:t>
      </w:r>
    </w:p>
    <w:p>
      <w:pPr>
        <w:pStyle w:val="CaptionedFigure"/>
        <w:rPr/>
      </w:pPr>
      <w:r>
        <w:rPr/>
        <w:drawing>
          <wp:inline distT="0" distB="0" distL="0" distR="0">
            <wp:extent cx="4587240" cy="4587240"/>
            <wp:effectExtent l="0" t="0" r="0" b="0"/>
            <wp:docPr id="1" name="Picture"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2"/>
                    <a:stretch>
                      <a:fillRect/>
                    </a:stretch>
                  </pic:blipFill>
                  <pic:spPr bwMode="auto">
                    <a:xfrm>
                      <a:off x="0" y="0"/>
                      <a:ext cx="4587240" cy="4587240"/>
                    </a:xfrm>
                    <a:prstGeom prst="rect">
                      <a:avLst/>
                    </a:prstGeom>
                  </pic:spPr>
                </pic:pic>
              </a:graphicData>
            </a:graphic>
          </wp:inline>
        </w:drawing>
      </w:r>
    </w:p>
    <w:p>
      <w:pPr>
        <w:pStyle w:val="ImageCaption"/>
        <w:rPr/>
      </w:pPr>
      <w:bookmarkStart w:id="26" w:name="microscopic-pollen-identification"/>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bookmarkEnd w:id="26"/>
    </w:p>
    <w:p>
      <w:pPr>
        <w:pStyle w:val="Heading2"/>
        <w:rPr/>
      </w:pPr>
      <w:bookmarkStart w:id="27" w:name="metabarcoding-pollen-identification"/>
      <w:r>
        <w:rPr/>
        <w:t>3.3 | Metabarcoding Pollen identification</w:t>
      </w:r>
    </w:p>
    <w:p>
      <w:pPr>
        <w:pStyle w:val="FirstParagraph"/>
        <w:rPr/>
      </w:pPr>
      <w:r>
        <w:rPr/>
        <w:t xml:space="preserve">54 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w:t>
      </w:r>
    </w:p>
    <w:p>
      <w:pPr>
        <w:pStyle w:val="TextBody"/>
        <w:rPr/>
      </w:pPr>
      <w:r>
        <w:rPr>
          <w:b/>
          <w:bCs/>
        </w:rPr>
        <w:t>APPENDIX X Reads Per Loci</w:t>
      </w:r>
      <w:r>
        <w:rPr/>
        <w:t>.</w:t>
      </w:r>
    </w:p>
    <w:p>
      <w:pPr>
        <w:pStyle w:val="TextBody"/>
        <w:rPr/>
      </w:pPr>
      <w:r>
        <w:rPr/>
        <w:t xml:space="preserve">After trimming 7,865,680 sequences remained. 10,682,538 reads were matched using Kraken, of the reads classified by Kraken 10,160,768 reads were matched using Bracken, of the reads classified by Kraken 7,302,876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drawing>
          <wp:inline distT="0" distB="0" distL="0" distR="0">
            <wp:extent cx="4620260" cy="369633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620260" cy="3696335"/>
                    </a:xfrm>
                    <a:prstGeom prst="rect">
                      <a:avLst/>
                    </a:prstGeom>
                  </pic:spPr>
                </pic:pic>
              </a:graphicData>
            </a:graphic>
          </wp:inline>
        </w:drawing>
      </w:r>
    </w:p>
    <w:p>
      <w:pPr>
        <w:pStyle w:val="TextBody"/>
        <w:rPr/>
      </w:pPr>
      <w:r>
        <w:rPr/>
        <w:t xml:space="preserve">To detect whether the sequencing reads were semi-quantitative the proportion of all pollen morphotypes distinguishable by microscopy were compared to the sequence reads. In all instances sequence reads were pooled to the highest taxonomic rank associated with the morphotype, e.g. if both species of </w:t>
      </w:r>
      <w:r>
        <w:rPr>
          <w:i/>
          <w:iCs/>
        </w:rPr>
        <w:t>Mertensia</w:t>
      </w:r>
      <w:r>
        <w:rPr/>
        <w:t xml:space="preserve"> Roth, or one species and read only classified to genus were present in a sample, the reads were summed. The total percentage of the ten most abundant grains per sample were then were then </w:t>
      </w:r>
      <w:r>
        <w:rPr>
          <w:i/>
          <w:iCs/>
        </w:rPr>
        <w:t>corrected</w:t>
      </w:r>
      <w:r>
        <w:rPr/>
        <w:t xml:space="preserve"> to constitute the entire sample.</w:t>
      </w:r>
    </w:p>
    <w:p>
      <w:pPr>
        <w:pStyle w:val="TextBody"/>
        <w:rPr/>
      </w:pPr>
      <w:r>
        <w:rPr/>
        <w:t xml:space="preserve">The relationship between the number of pollen grains in a sample and the number of sequence reads is roughly </w:t>
      </w:r>
      <w:r>
        <w:rPr>
          <w:i/>
          <w:iCs/>
        </w:rPr>
        <w:t>curvilinear</w:t>
      </w:r>
      <w:r>
        <w:rPr/>
        <w:t>, where grains which are present in trace amounts are overestimated by sequence counts, while grains present in high amounts are underestimated. This is likely due to the proportion of high false positives which occur in the classification process with NGS (BELL NOVEMEBER 2021). There was strong evidence of a strong correlation between the proportion of grains per morphotype and the number of sequences per group (0.53, p &lt; 0.0001, n = 31).</w:t>
      </w:r>
      <w:bookmarkEnd w:id="27"/>
    </w:p>
    <w:p>
      <w:pPr>
        <w:pStyle w:val="Heading2"/>
        <w:rPr/>
      </w:pPr>
      <w:bookmarkStart w:id="28" w:name="temporal-analyses-1"/>
      <w:r>
        <w:rPr/>
        <w:t>3.4 | Temporal Analyses</w:t>
      </w:r>
    </w:p>
    <w:p>
      <w:pPr>
        <w:pStyle w:val="FirstParagraph"/>
        <w:rPr/>
      </w:pPr>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quantile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quantile = 291) from 2000-2017, were used as delimiters for the inclusions of herbarium records in modelling. Of the </w:t>
      </w:r>
      <w:r>
        <w:rPr>
          <w:b/>
          <w:bCs/>
        </w:rPr>
        <w:t>500</w:t>
      </w:r>
      <w:r>
        <w:rPr/>
        <w:t xml:space="preserve">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Only 58 of these 388 species (n = 34.568, Mdn = 31) were able to be compared to plot based observational data from the long term (1974–2012) data set (CITE). Of these species relatively high accord was observed between the long-term ground truthed data set, and the modelled species. There was very strong evidence that the weibull estimates were positively associated with the observed onset (r</w:t>
      </w:r>
      <w:r>
        <w:rPr>
          <w:vertAlign w:val="superscript"/>
        </w:rPr>
        <w:t>2</w:t>
      </w:r>
      <w:r>
        <w:rPr/>
        <w:t xml:space="preserve"> = 0.72, p &lt; 0.0001, tau = 0.61) and peak (r</w:t>
      </w:r>
      <w:r>
        <w:rPr>
          <w:vertAlign w:val="superscript"/>
        </w:rPr>
        <w:t>2</w:t>
      </w:r>
      <w:r>
        <w:rPr/>
        <w:t xml:space="preserve"> = 0.70, p &lt; 0.0001, tau = 0.65) of flowering, and that the number of herbarium samples had a moderate effect on the estimates (p = 0.004 and p = 0.034 respectively). There was very strong evidence that the weibull estimates had a positive association with the observed cessation of flowering (r</w:t>
      </w:r>
      <w:r>
        <w:rPr>
          <w:vertAlign w:val="superscript"/>
        </w:rPr>
        <w:t>2</w:t>
      </w:r>
      <w:r>
        <w:rPr/>
        <w:t xml:space="preserve"> = 0.4339, p &lt; 0.0001, tau = 0.489), however their was no evidence that sample size had an effect (p = 0.349). There was moderate evidence that the weibull estimates, with an effect of sample size, had a weak positive association with the observed duration of flowering (p = 0.0401, r</w:t>
      </w:r>
      <w:r>
        <w:rPr>
          <w:vertAlign w:val="superscript"/>
        </w:rPr>
        <w:t>2</w:t>
      </w:r>
      <w:r>
        <w:rPr/>
        <w:t xml:space="preserve"> = 0.07, tau = 0.17).</w:t>
      </w:r>
    </w:p>
    <w:p>
      <w:pPr>
        <w:pStyle w:val="CaptionedFigure"/>
        <w:rPr/>
      </w:pPr>
      <w:r>
        <w:rPr/>
        <w:drawing>
          <wp:inline distT="0" distB="0" distL="0" distR="0">
            <wp:extent cx="2165350" cy="2165350"/>
            <wp:effectExtent l="0" t="0" r="0" b="0"/>
            <wp:docPr id="3" name="Image3" descr="Modelled dates of when major flowering events occ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bookmarkStart w:id="29" w:name="temporal-analyses-1"/>
      <w:r>
        <w:rPr/>
        <w:t>Modelled dates of when major flowering events occurred</w:t>
      </w:r>
      <w:bookmarkEnd w:id="29"/>
    </w:p>
    <w:p>
      <w:pPr>
        <w:pStyle w:val="Heading2"/>
        <w:rPr/>
      </w:pPr>
      <w:bookmarkStart w:id="30" w:name="floral-observations-1"/>
      <w:r>
        <w:rPr/>
        <w:t>3.5 | Floral Observations</w:t>
      </w:r>
    </w:p>
    <w:p>
      <w:pPr>
        <w:pStyle w:val="FirstParagraph"/>
        <w:rPr/>
      </w:pPr>
      <w:r>
        <w:rPr/>
        <w:t xml:space="preserve">The six sites were surveyed once weekly from May 27-July 27 for a total of 52 hours from . A total of 723 queen-pollen 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 3.46, Mdn = 2), with a range of total observed interactions per bee species across this time period (min = 1, </w:t>
      </w:r>
      <w:r>
        <w:rPr/>
      </w:r>
      <m:oMath xmlns:m="http://schemas.openxmlformats.org/officeDocument/2006/math">
        <m:acc>
          <m:accPr>
            <m:chr m:val="´"/>
          </m:accPr>
          <m:e>
            <m:r>
              <w:rPr>
                <w:rFonts w:ascii="Cambria Math" w:hAnsi="Cambria Math"/>
              </w:rPr>
              <m:t xml:space="preserve">x</m:t>
            </m:r>
          </m:e>
        </m:acc>
      </m:oMath>
      <w:r>
        <w:rPr/>
        <w:t xml:space="preserve"> = 59.08, Mdn = 19, max = 184). Plants varied widely in the number of interactions which they partook in with each species of bee (range per plant species by week min = 1 - 20, </w:t>
      </w:r>
      <w:r>
        <w:rPr/>
      </w:r>
      <m:oMath xmlns:m="http://schemas.openxmlformats.org/officeDocument/2006/math">
        <m:acc>
          <m:accPr>
            <m:chr m:val="´"/>
          </m:accPr>
          <m:e>
            <m:r>
              <w:rPr>
                <w:rFonts w:ascii="Cambria Math" w:hAnsi="Cambria Math"/>
              </w:rPr>
              <m:t xml:space="preserve">x</m:t>
            </m:r>
          </m:e>
        </m:acc>
      </m:oMath>
      <w:r>
        <w:rPr/>
        <w:t xml:space="preserve"> = 3.51, Mdn = 2), with a range of total observed interactions per plant species over this time period (min = 1, </w:t>
      </w:r>
      <w:r>
        <w:rPr/>
      </w:r>
      <m:oMath xmlns:m="http://schemas.openxmlformats.org/officeDocument/2006/math">
        <m:acc>
          <m:accPr>
            <m:chr m:val="´"/>
          </m:accPr>
          <m:e>
            <m:r>
              <w:rPr>
                <w:rFonts w:ascii="Cambria Math" w:hAnsi="Cambria Math"/>
              </w:rPr>
              <m:t xml:space="preserve">x</m:t>
            </m:r>
          </m:e>
        </m:acc>
      </m:oMath>
      <w:r>
        <w:rPr/>
        <w:t xml:space="preserve"> = 20.26, Mdn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Mdn = 6).</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4" name="Image4"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Number of the ten most commonly visited plants which are also in the top ten most common sequences"/>
                    <pic:cNvPicPr>
                      <a:picLocks noChangeAspect="1" noChangeArrowheads="1"/>
                    </pic:cNvPicPr>
                  </pic:nvPicPr>
                  <pic:blipFill>
                    <a:blip r:embed="rId5"/>
                    <a:stretch>
                      <a:fillRect/>
                    </a:stretch>
                  </pic:blipFill>
                  <pic:spPr bwMode="auto">
                    <a:xfrm>
                      <a:off x="0" y="0"/>
                      <a:ext cx="4620260" cy="3696335"/>
                    </a:xfrm>
                    <a:prstGeom prst="rect">
                      <a:avLst/>
                    </a:prstGeom>
                  </pic:spPr>
                </pic:pic>
              </a:graphicData>
            </a:graphic>
          </wp:inline>
        </w:drawing>
      </w:r>
    </w:p>
    <w:p>
      <w:pPr>
        <w:pStyle w:val="ImageCaption"/>
        <w:rPr/>
      </w:pPr>
      <w:bookmarkStart w:id="31" w:name="floral-observations-1"/>
      <w:r>
        <w:rPr/>
        <w:t>Number of the ten most commonly visited plants which are also in the top ten most common sequences</w:t>
      </w:r>
      <w:bookmarkEnd w:id="31"/>
    </w:p>
    <w:p>
      <w:pPr>
        <w:pStyle w:val="Heading2"/>
        <w:rPr/>
      </w:pPr>
      <w:bookmarkStart w:id="32" w:name="Xf1861ac642570f5a03736c772bdea3cf6619f1c"/>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p>
    <w:p>
      <w:pPr>
        <w:pStyle w:val="TextBody"/>
        <w:rPr/>
      </w:pPr>
      <w:r>
        <w:rPr/>
        <w:t xml:space="preserve">For example a common UNKNOWN sequence mapped to the Asteraceae family, but which was 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failed extraction. A similar likely mismatch could be between what was fide 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7 … , and the median of interactions with the top 5 plant sizes constituted 0.8142857 of the top.</w:t>
      </w:r>
    </w:p>
    <w:p>
      <w:pPr>
        <w:pStyle w:val="TextBody"/>
        <w:rPr/>
      </w:pPr>
      <w:r>
        <w:rPr/>
        <w:t xml:space="preserve">… </w:t>
      </w:r>
      <w:r>
        <w:rPr/>
        <w:t xml:space="preserve">many of our results indicate foraging on </w:t>
      </w:r>
      <w:r>
        <w:rPr>
          <w:i/>
          <w:iCs/>
        </w:rPr>
        <w:t>Viola</w:t>
      </w:r>
      <w:r>
        <w:rPr/>
        <w:t xml:space="preserve"> L. spp, zygomorphic flowers with architecture which would require subtle handling and strength to reach the pollen and nectar loads… .. Or the </w:t>
      </w:r>
      <w:r>
        <w:rPr>
          <w:i/>
          <w:iCs/>
        </w:rPr>
        <w:t>Epilobium</w:t>
      </w:r>
      <w:r>
        <w:rPr/>
        <w:t xml:space="preserve"> L. spp. results likely indicating that a species of </w:t>
      </w:r>
      <w:r>
        <w:rPr>
          <w:i/>
          <w:iCs/>
        </w:rPr>
        <w:t>Chamerion</w:t>
      </w:r>
      <w:r>
        <w:rPr/>
        <w:t xml:space="preserve"> Seg. such as </w:t>
      </w:r>
      <w:r>
        <w:rPr>
          <w:i/>
          <w:iCs/>
        </w:rPr>
        <w:t>C. angustifolium</w:t>
      </w:r>
      <w:r>
        <w:rPr/>
        <w:t xml:space="preserve"> (L.) Scop. or </w:t>
      </w:r>
      <w:r>
        <w:rPr>
          <w:i/>
          <w:iCs/>
        </w:rPr>
        <w:t>latifolium</w:t>
      </w:r>
      <w:r>
        <w:rPr/>
        <w:t xml:space="preserve"> (L.) Sweet is occasionally utilized, as it supported by limited palynology data.</w:t>
      </w:r>
      <w:bookmarkEnd w:id="22"/>
      <w:bookmarkEnd w:id="32"/>
    </w:p>
    <w:p>
      <w:pPr>
        <w:pStyle w:val="Heading1"/>
        <w:rPr/>
      </w:pPr>
      <w:bookmarkStart w:id="33" w:name="discussion"/>
      <w:r>
        <w:rPr/>
        <w:t>4 | DISCUSSION</w:t>
      </w:r>
    </w:p>
    <w:p>
      <w:pPr>
        <w:pStyle w:val="Heading5"/>
        <w:rPr/>
      </w:pPr>
      <w:bookmarkStart w:id="34" w:name="what-we-demonstrated"/>
      <w:r>
        <w:rPr/>
        <w:t>~ What we DEMONSTRATED ~</w:t>
      </w:r>
    </w:p>
    <w:p>
      <w:pPr>
        <w:pStyle w:val="FirstParagraph"/>
        <w:rPr/>
      </w:pPr>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This was exemplified in an ecologically relevant scenario, where the results have immediate implications for natural history driven fundamental science and land management. 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bookmarkEnd w:id="34"/>
    </w:p>
    <w:p>
      <w:pPr>
        <w:pStyle w:val="Heading5"/>
        <w:rPr/>
      </w:pPr>
      <w:bookmarkStart w:id="35" w:name="what-challenges-we-faced"/>
      <w:r>
        <w:rPr/>
        <w:t>~ What CHALLENGES we FACED ~</w:t>
      </w:r>
    </w:p>
    <w:p>
      <w:pPr>
        <w:pStyle w:val="FirstParagraph"/>
        <w:rPr/>
      </w:pPr>
      <w:r>
        <w:rPr/>
        <w:t xml:space="preserve">We anticipate that many of the complications which we faced, using opportunistically collected pollen loads and the first implementation of this method may readily be overcome. It seems apparent that we had issues detecting pollen from several genera of plants, based upon these and other observational studies most likely </w:t>
      </w:r>
      <w:r>
        <w:rPr>
          <w:i/>
          <w:iCs/>
        </w:rPr>
        <w:t>Vicia</w:t>
      </w:r>
      <w:r>
        <w:rPr/>
        <w:t xml:space="preserve"> L., </w:t>
      </w:r>
      <w:r>
        <w:rPr>
          <w:i/>
          <w:iCs/>
        </w:rPr>
        <w:t>Lathyrus</w:t>
      </w:r>
      <w:r>
        <w:rPr/>
        <w:t xml:space="preserve"> L., and </w:t>
      </w:r>
      <w:r>
        <w:rPr>
          <w:i/>
          <w:iCs/>
        </w:rPr>
        <w:t>Frasera</w:t>
      </w:r>
      <w:r>
        <w:rPr/>
        <w:t xml:space="preserve"> (Inouye (</w:t>
      </w:r>
      <w:hyperlink w:anchor="ref-inouye1980effect">
        <w:r>
          <w:rPr>
            <w:rStyle w:val="InternetLink"/>
          </w:rPr>
          <w:t>1980</w:t>
        </w:r>
      </w:hyperlink>
      <w:r>
        <w:rPr/>
        <w:t>), Pleasants (</w:t>
      </w:r>
      <w:hyperlink w:anchor="ref-pleasants1980competition">
        <w:r>
          <w:rPr>
            <w:rStyle w:val="InternetLink"/>
          </w:rPr>
          <w:t>1980</w:t>
        </w:r>
      </w:hyperlink>
      <w:r>
        <w:rPr/>
        <w:t xml:space="preserve">)); this is most likely related to user error in obtaining high quality DNA during the plant reference library generation period. </w:t>
      </w:r>
      <w:r>
        <w:rPr>
          <w:b/>
          <w:bCs/>
        </w:rPr>
        <w:t>(REED SHOULD HUNT FOR LOCI RETURNS FROM BLAST LIKE HE DID POLLEN)</w:t>
      </w:r>
      <w:r>
        <w:rPr/>
        <w:t xml:space="preserve">. Additional complications seem to relate to the presence of closely related false positives, e.g. frequent classifications of sequences as </w:t>
      </w:r>
      <w:r>
        <w:rPr>
          <w:i/>
          <w:iCs/>
        </w:rPr>
        <w:t>Trollius</w:t>
      </w:r>
      <w:r>
        <w:rPr/>
        <w:t xml:space="preserve"> L., </w:t>
      </w:r>
      <w:r>
        <w:rPr>
          <w:i/>
          <w:iCs/>
        </w:rPr>
        <w:t>Caltha</w:t>
      </w:r>
      <w:r>
        <w:rPr/>
        <w:t xml:space="preserve"> L., and </w:t>
      </w:r>
      <w:r>
        <w:rPr>
          <w:i/>
          <w:iCs/>
        </w:rPr>
        <w:t>Thalictrum</w:t>
      </w:r>
      <w:r>
        <w:rPr/>
        <w:t xml:space="preserve"> L. alongside a more common species in the family, e.g. </w:t>
      </w:r>
      <w:r>
        <w:rPr>
          <w:i/>
          <w:iCs/>
        </w:rPr>
        <w:t>Delphinium.</w:t>
      </w:r>
      <w:r>
        <w:rPr/>
        <w:t xml:space="preserve"> L. Many of our errors are known to us and multiple mnemonics are in </w:t>
      </w:r>
      <w:r>
        <w:rPr>
          <w:i/>
          <w:iCs/>
        </w:rPr>
        <w:t>APPENDIX XX</w:t>
      </w:r>
      <w:r>
        <w:rPr/>
        <w:t xml:space="preserve"> to assist others in future attempts to achieve better results. However, the line between false and negative positives may be blurred in some of these instances and warrant further work, for example </w:t>
      </w:r>
      <w:r>
        <w:rPr>
          <w:b/>
          <w:bCs/>
        </w:rPr>
        <w:t>Ericaceae pollen grains were observed in a number of samples in trace quantities…</w:t>
      </w:r>
      <w:r>
        <w:rPr/>
        <w:t xml:space="preserve">. We used only a relatively few amount of species records for both the spatial and temporal modelling, we feel this was an appropriate measure to show that these methods would work with data sets which were readily available without considerable data ‘scraping’. We anticipate that the number of records available to all researchers have grown rapidly since the inception of our modelling (2019) to date, largely as a result of herbarium digitization efforts, and that speak of a massive ‘one stop shop’ of an integrated database is just over the horizon (Feng </w:t>
      </w:r>
      <w:r>
        <w:rPr>
          <w:i/>
          <w:iCs/>
        </w:rPr>
        <w:t>et al.</w:t>
      </w:r>
      <w:r>
        <w:rPr/>
        <w:t xml:space="preserve"> (</w:t>
      </w:r>
      <w:hyperlink w:anchor="ref-feng2022review">
        <w:r>
          <w:rPr>
            <w:rStyle w:val="InternetLink"/>
          </w:rPr>
          <w:t>2022</w:t>
        </w:r>
      </w:hyperlink>
      <w:r>
        <w:rPr/>
        <w:t>), Soltis (</w:t>
      </w:r>
      <w:hyperlink w:anchor="ref-soltis2017digitization">
        <w:r>
          <w:rPr>
            <w:rStyle w:val="InternetLink"/>
          </w:rPr>
          <w:t>2017</w:t>
        </w:r>
      </w:hyperlink>
      <w:r>
        <w:rPr/>
        <w:t>)). 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 size of the minimum spanning tree (AREA???)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w:t>
      </w:r>
      <w:bookmarkEnd w:id="35"/>
    </w:p>
    <w:p>
      <w:pPr>
        <w:pStyle w:val="Heading5"/>
        <w:rPr/>
      </w:pPr>
      <w:bookmarkStart w:id="36" w:name="what-we-learned-about-bee-foraging-basic"/>
      <w:r>
        <w:rPr/>
        <w:t>~ WHAT we learned about Bee foraging (BASIC) ~</w:t>
      </w:r>
    </w:p>
    <w:p>
      <w:pPr>
        <w:pStyle w:val="FirstParagraph"/>
        <w:rPr/>
      </w:pPr>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 Future analyses of the long term data set…</w:t>
      </w:r>
      <w:bookmarkEnd w:id="36"/>
    </w:p>
    <w:p>
      <w:pPr>
        <w:pStyle w:val="Heading5"/>
        <w:rPr/>
      </w:pPr>
      <w:bookmarkStart w:id="37" w:name="Xbf7f689bce63737cddfc3519f2d47ce60074ea0"/>
      <w:r>
        <w:rPr/>
        <w:t>~ WHAT this tells us about Bee foraging (APPLIED) ~</w:t>
      </w:r>
    </w:p>
    <w:p>
      <w:pPr>
        <w:pStyle w:val="FirstParagraph"/>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the 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(Huth) Huth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bookmarkEnd w:id="37"/>
    </w:p>
    <w:p>
      <w:pPr>
        <w:pStyle w:val="Heading5"/>
        <w:rPr/>
      </w:pPr>
      <w:bookmarkStart w:id="38" w:name="where-we-see-spatialtemporal-going"/>
      <w:r>
        <w:rPr/>
        <w:t>~ WHERE we see spatial/temporal going</w:t>
      </w:r>
    </w:p>
    <w:p>
      <w:pPr>
        <w:pStyle w:val="FirstParagraph"/>
        <w:rPr/>
      </w:pPr>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w:t>
      </w:r>
      <w:r>
        <w:rPr>
          <w:b/>
          <w:bCs/>
        </w:rPr>
        <w:t>As can be seen here, predictions of when a single, major phenological event occurs is already data limited, with sample size having an effect on the subset of species which we could even generate weibull estimates for. ; check assumptions of model again and just do a quasi something</w:t>
      </w:r>
      <w:r>
        <w:rPr/>
        <w:t xml:space="preserve"> A more promising approach for the tropics may lay in circular statistics (Park </w:t>
      </w:r>
      <w:r>
        <w:rPr>
          <w:i/>
          <w:iCs/>
        </w:rPr>
        <w:t>et al.</w:t>
      </w:r>
      <w:r>
        <w:rPr/>
        <w:t xml:space="preserve"> (</w:t>
      </w:r>
      <w:hyperlink w:anchor="ref-park2022herbarium">
        <w:r>
          <w:rPr>
            <w:rStyle w:val="InternetLink"/>
          </w:rPr>
          <w:t>2022</w:t>
        </w:r>
      </w:hyperlink>
      <w:r>
        <w:rPr/>
        <w:t>)).</w:t>
      </w:r>
      <w:bookmarkEnd w:id="38"/>
    </w:p>
    <w:p>
      <w:pPr>
        <w:pStyle w:val="Heading5"/>
        <w:rPr/>
      </w:pPr>
      <w:bookmarkStart w:id="39" w:name="where-we-see-molecular-going"/>
      <w:r>
        <w:rPr/>
        <w:t>~ WHERE we see MOLECULAR going</w:t>
      </w:r>
    </w:p>
    <w:p>
      <w:pPr>
        <w:pStyle w:val="FirstParagraph"/>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33"/>
      <w:bookmarkEnd w:id="39"/>
    </w:p>
    <w:p>
      <w:pPr>
        <w:pStyle w:val="Heading1"/>
        <w:rPr/>
      </w:pPr>
      <w:bookmarkStart w:id="40" w:name="conclusion"/>
      <w:r>
        <w:rPr/>
        <w:t>5 | CONCLUSION</w:t>
      </w:r>
    </w:p>
    <w:p>
      <w:pPr>
        <w:pStyle w:val="FirstParagraph"/>
        <w:rPr/>
      </w:pPr>
      <w:r>
        <w:rPr/>
        <w:t>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Ian Breckheimer for sharing the SDM predictor variables. Hilary Noble, Zoe Diaz-Martinez, Angela McDonnell, &amp; Elena Loke for assistance with genomic library preparation.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6">
        <w:r>
          <w:rPr>
            <w:rStyle w:val="InternetLink"/>
          </w:rPr>
          <w:t>https://orcid.org/0000-0003-3517-9090</w:t>
        </w:r>
      </w:hyperlink>
      <w:r>
        <w:rPr/>
        <w:br/>
        <w:t xml:space="preserve">Jeremie Fant </w:t>
      </w:r>
      <w:hyperlink r:id="rId7">
        <w:r>
          <w:rPr>
            <w:rStyle w:val="InternetLink"/>
          </w:rPr>
          <w:t>https://orcid.org/0000-0001-9276-1111</w:t>
        </w:r>
      </w:hyperlink>
      <w:r>
        <w:rPr/>
        <w:br/>
        <w:t xml:space="preserve">Jane Ogilvie </w:t>
      </w:r>
      <w:hyperlink r:id="rId8">
        <w:r>
          <w:rPr>
            <w:rStyle w:val="InternetLink"/>
          </w:rPr>
          <w:t>https://orcid.org/0000-0001-8546-0417</w:t>
        </w:r>
      </w:hyperlink>
      <w:r>
        <w:rPr/>
        <w:br/>
        <w:t xml:space="preserve">Sophie Taddeo </w:t>
      </w:r>
      <w:hyperlink r:id="rId9">
        <w:r>
          <w:rPr>
            <w:rStyle w:val="InternetLink"/>
          </w:rPr>
          <w:t>https://orcid.org/0000-0002-7789-1417</w:t>
        </w:r>
      </w:hyperlink>
      <w:bookmarkEnd w:id="40"/>
    </w:p>
    <w:p>
      <w:pPr>
        <w:pStyle w:val="Heading1"/>
        <w:rPr/>
      </w:pPr>
      <w:bookmarkStart w:id="41" w:name="references"/>
      <w:r>
        <w:rPr/>
        <w:t>References</w:t>
      </w:r>
      <w:bookmarkEnd w:id="41"/>
    </w:p>
    <w:p>
      <w:pPr>
        <w:pStyle w:val="Heading1"/>
        <w:rPr/>
      </w:pPr>
      <w:bookmarkStart w:id="42" w:name="supporting"/>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53340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trPr>
        <w:tc>
          <w:tcPr>
            <w:tcW w:w="1980" w:type="dxa"/>
            <w:tcBorders>
              <w:bottom w:val="single" w:sz="6" w:space="0" w:color="000000"/>
            </w:tcBorders>
            <w:vAlign w:val="bottom"/>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Source</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cloudiness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1 -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3.</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2 -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4.</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3 -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5.</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Beginning of the frost-free period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6.</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Climatic moisture deficit</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7.</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Degree-days above 5C from</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8.</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9.</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 as snow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10.</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Temperature seasonality</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11.</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Grass/Herbaceous cover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(MOD44B)</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12.</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Tree cover from Landsat 7/8</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(GLCF)</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13.</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probability of bedrock (R Horizon)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14.</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organic carbon (Tonnes / ha)</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15.</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16.</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percent sand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17.</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USDA class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18.</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19.</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 moving window.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20.</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percent slope</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21.</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wetness index</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22.</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aspect from</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23.</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Annual potential solar radiation computed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r.sun</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24.</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Estimated actual (w/-cloud) solar radiation r.</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sun / 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25.</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Log-transformed distance to surface water Gl</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obal Surface Water Explorer</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26.</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Percent surface water Gl</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bookmarkStart w:id="43" w:name="pollen-cluster-results-should-be-here"/>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5334000"/>
                    </a:xfrm>
                    <a:prstGeom prst="rect">
                      <a:avLst/>
                    </a:prstGeom>
                  </pic:spPr>
                </pic:pic>
              </a:graphicData>
            </a:graphic>
          </wp:inline>
        </w:drawing>
      </w:r>
    </w:p>
    <w:p>
      <w:pPr>
        <w:pStyle w:val="TextBody"/>
        <w:rPr/>
      </w:pPr>
      <w:r>
        <w:rPr/>
        <w:t>Appendix XX - Comparison of Kraken2, Bracken, and BLAST</w:t>
      </w:r>
    </w:p>
    <w:p>
      <w:pPr>
        <w:pStyle w:val="TextBody"/>
        <w:rPr/>
      </w:pPr>
      <w:r>
        <w:rPr/>
        <w:drawing>
          <wp:inline distT="0" distB="0" distL="0" distR="0">
            <wp:extent cx="5334000" cy="7539355"/>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i/>
          <w:iCs/>
        </w:rPr>
        <w:t>Generalised Linear Models (GLM)</w:t>
      </w:r>
    </w:p>
    <w:p>
      <w:pPr>
        <w:pStyle w:val="TextBody"/>
        <w:rPr/>
      </w:pPr>
      <w:r>
        <w:rPr>
          <w:i/>
          <w:iCs/>
        </w:rPr>
        <w:t>Generalised Additive Models (GAM)</w:t>
      </w:r>
    </w:p>
    <w:p>
      <w:pPr>
        <w:pStyle w:val="TextBody"/>
        <w:rPr/>
      </w:pPr>
      <w:r>
        <w:rPr/>
        <w:t>The two machine learning models utilize Ensemble learning.</w:t>
      </w:r>
    </w:p>
    <w:p>
      <w:pPr>
        <w:pStyle w:val="TextBody"/>
        <w:rPr/>
      </w:pPr>
      <w:r>
        <w:rPr/>
        <w:t>Decision trees, …</w:t>
      </w:r>
    </w:p>
    <w:p>
      <w:pPr>
        <w:pStyle w:val="TextBody"/>
        <w:rPr/>
      </w:pPr>
      <w:r>
        <w:rPr/>
        <w:t xml:space="preserve">Ensemble learning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t>Random Forest have high bias and low variance, where boosted regressions trees have low bias and high variances.</w:t>
      </w:r>
    </w:p>
    <w:p>
      <w:pPr>
        <w:pStyle w:val="Normal"/>
        <w:rPr/>
      </w:pPr>
      <w:r>
        <w:rPr/>
      </w:r>
      <w:r>
        <w:br w:type="page"/>
      </w:r>
    </w:p>
    <w:p>
      <w:pPr>
        <w:pStyle w:val="TextBody"/>
        <w:rPr/>
      </w:pPr>
      <w:r>
        <w:rPr/>
        <w:t>APPENDIX XX - Tips and tricks for implementing plant metagenomic sequencing</w:t>
      </w:r>
    </w:p>
    <w:p>
      <w:pPr>
        <w:pStyle w:val="Normal"/>
        <w:rPr/>
      </w:pPr>
      <w:r>
        <w:rPr/>
      </w:r>
      <w:r>
        <w:br w:type="page"/>
      </w:r>
    </w:p>
    <w:p>
      <w:pPr>
        <w:pStyle w:val="TextBody"/>
        <w:rPr/>
      </w:pPr>
      <w:r>
        <w:rPr/>
        <w:drawing>
          <wp:inline distT="0" distB="0" distL="0" distR="0">
            <wp:extent cx="5334000" cy="690308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Bibliography"/>
        <w:rPr/>
      </w:pPr>
      <w:bookmarkStart w:id="44" w:name="refs"/>
      <w:bookmarkStart w:id="45" w:name="ref-ackerfield2015flora"/>
      <w:r>
        <w:rPr/>
        <w:t xml:space="preserve">Ackerfield, J. (2015). </w:t>
      </w:r>
      <w:r>
        <w:rPr>
          <w:i/>
          <w:iCs/>
        </w:rPr>
        <w:t>Flora of colorado</w:t>
      </w:r>
      <w:r>
        <w:rPr/>
        <w:t>. BRIT Press Fort Worth.</w:t>
      </w:r>
      <w:bookmarkEnd w:id="45"/>
    </w:p>
    <w:p>
      <w:pPr>
        <w:pStyle w:val="Bibliography"/>
        <w:rPr/>
      </w:pPr>
      <w:bookmarkStart w:id="46"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2">
        <w:r>
          <w:rPr>
            <w:rStyle w:val="InternetLink"/>
          </w:rPr>
          <w:t>https://onlinelibrary.wiley.com/doi/abs/10.1111/j.1600-0706.2009.17694.x</w:t>
        </w:r>
      </w:hyperlink>
      <w:bookmarkEnd w:id="46"/>
    </w:p>
    <w:p>
      <w:pPr>
        <w:pStyle w:val="Bibliography"/>
        <w:rPr/>
      </w:pPr>
      <w:bookmarkStart w:id="47" w:name="ref-aldous1919eradicating"/>
      <w:r>
        <w:rPr/>
        <w:t xml:space="preserve">Aldous, A.E. (1919). </w:t>
      </w:r>
      <w:r>
        <w:rPr>
          <w:i/>
          <w:iCs/>
        </w:rPr>
        <w:t>Eradicating tall larkspur on cattle ranges in the national forest</w:t>
      </w:r>
      <w:r>
        <w:rPr/>
        <w:t>. US Department of Agriculture.</w:t>
      </w:r>
      <w:bookmarkEnd w:id="47"/>
    </w:p>
    <w:p>
      <w:pPr>
        <w:pStyle w:val="Bibliography"/>
        <w:rPr/>
      </w:pPr>
      <w:bookmarkStart w:id="48"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48"/>
    </w:p>
    <w:p>
      <w:pPr>
        <w:pStyle w:val="Bibliography"/>
        <w:rPr/>
      </w:pPr>
      <w:bookmarkStart w:id="49" w:name="ref-allred2012flora"/>
      <w:r>
        <w:rPr/>
        <w:t xml:space="preserve">Allred, K.W. &amp; Ivey, R. (2012). Flora neomexicana III: An illustrated identification manual. </w:t>
      </w:r>
      <w:r>
        <w:rPr>
          <w:i/>
          <w:iCs/>
        </w:rPr>
        <w:t>Lulu. com</w:t>
      </w:r>
      <w:r>
        <w:rPr/>
        <w:t>.</w:t>
      </w:r>
      <w:bookmarkEnd w:id="49"/>
    </w:p>
    <w:p>
      <w:pPr>
        <w:pStyle w:val="Bibliography"/>
        <w:rPr/>
      </w:pPr>
      <w:bookmarkStart w:id="50"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50"/>
    </w:p>
    <w:p>
      <w:pPr>
        <w:pStyle w:val="Bibliography"/>
        <w:rPr/>
      </w:pPr>
      <w:bookmarkStart w:id="51"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51"/>
    </w:p>
    <w:p>
      <w:pPr>
        <w:pStyle w:val="Bibliography"/>
        <w:rPr/>
      </w:pPr>
      <w:bookmarkStart w:id="52"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3">
        <w:r>
          <w:rPr>
            <w:rStyle w:val="InternetLink"/>
          </w:rPr>
          <w:t>https://doi.org/10.1093/sysbio/syab035</w:t>
        </w:r>
      </w:hyperlink>
      <w:bookmarkEnd w:id="52"/>
    </w:p>
    <w:p>
      <w:pPr>
        <w:pStyle w:val="Bibliography"/>
        <w:rPr/>
      </w:pPr>
      <w:bookmarkStart w:id="53" w:name="ref-baker2021exploring"/>
      <w:r>
        <w:rPr/>
        <w:t xml:space="preserve">Baker, W., Dodsworth, S., Forest, F., Graham, S., Johnson, M., McDonnell, A., Pokorny, L., Tate, J., Wicke, S. &amp; Wickett, N. (2021b). </w:t>
      </w:r>
      <w:hyperlink r:id="rId34">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3"/>
    </w:p>
    <w:p>
      <w:pPr>
        <w:pStyle w:val="Bibliography"/>
        <w:rPr/>
      </w:pPr>
      <w:bookmarkStart w:id="54"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54"/>
    </w:p>
    <w:p>
      <w:pPr>
        <w:pStyle w:val="Bibliography"/>
        <w:rPr/>
      </w:pPr>
      <w:bookmarkStart w:id="55"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35">
        <w:r>
          <w:rPr>
            <w:rStyle w:val="InternetLink"/>
          </w:rPr>
          <w:t>https://doi.org/10.1093/aobpla/plab062</w:t>
        </w:r>
      </w:hyperlink>
      <w:bookmarkEnd w:id="55"/>
    </w:p>
    <w:p>
      <w:pPr>
        <w:pStyle w:val="Bibliography"/>
        <w:rPr/>
      </w:pPr>
      <w:bookmarkStart w:id="56"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56"/>
    </w:p>
    <w:p>
      <w:pPr>
        <w:pStyle w:val="Bibliography"/>
        <w:rPr/>
      </w:pPr>
      <w:bookmarkStart w:id="57"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57"/>
    </w:p>
    <w:p>
      <w:pPr>
        <w:pStyle w:val="Bibliography"/>
        <w:rPr/>
      </w:pPr>
      <w:bookmarkStart w:id="58"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58"/>
    </w:p>
    <w:p>
      <w:pPr>
        <w:pStyle w:val="Bibliography"/>
        <w:rPr/>
      </w:pPr>
      <w:bookmarkStart w:id="59"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59"/>
    </w:p>
    <w:p>
      <w:pPr>
        <w:pStyle w:val="Bibliography"/>
        <w:rPr/>
      </w:pPr>
      <w:bookmarkStart w:id="60"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60"/>
    </w:p>
    <w:p>
      <w:pPr>
        <w:pStyle w:val="Bibliography"/>
        <w:rPr/>
      </w:pPr>
      <w:bookmarkStart w:id="61"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61"/>
    </w:p>
    <w:p>
      <w:pPr>
        <w:pStyle w:val="Bibliography"/>
        <w:rPr/>
      </w:pPr>
      <w:bookmarkStart w:id="62"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62"/>
    </w:p>
    <w:p>
      <w:pPr>
        <w:pStyle w:val="Bibliography"/>
        <w:rPr/>
      </w:pPr>
      <w:bookmarkStart w:id="63"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63"/>
    </w:p>
    <w:p>
      <w:pPr>
        <w:pStyle w:val="Bibliography"/>
        <w:rPr/>
      </w:pPr>
      <w:bookmarkStart w:id="64"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64"/>
    </w:p>
    <w:p>
      <w:pPr>
        <w:pStyle w:val="Bibliography"/>
        <w:rPr/>
      </w:pPr>
      <w:bookmarkStart w:id="65" w:name="ref-betancourt2005implementing"/>
      <w:r>
        <w:rPr/>
        <w:t>Betancourt, J.L., Schwartz, M.D., Breshears, D.D., Cayan, D.R., Dettinger, M.D., Inouye, D.W., Post, E. &amp; Reed, B.C. (2005). Implementing a US national phenology network.</w:t>
      </w:r>
      <w:bookmarkEnd w:id="65"/>
    </w:p>
    <w:p>
      <w:pPr>
        <w:pStyle w:val="Bibliography"/>
        <w:rPr/>
      </w:pPr>
      <w:bookmarkStart w:id="66" w:name="ref-bingham1998efficient"/>
      <w:r>
        <w:rPr/>
        <w:t xml:space="preserve">Bingham, R.A. &amp; Orthner, A.R. (1998). Efficient pollination of alpine plants. </w:t>
      </w:r>
      <w:r>
        <w:rPr>
          <w:i/>
          <w:iCs/>
        </w:rPr>
        <w:t>Nature</w:t>
      </w:r>
      <w:r>
        <w:rPr/>
        <w:t xml:space="preserve">, </w:t>
      </w:r>
      <w:r>
        <w:rPr>
          <w:b/>
          <w:bCs/>
        </w:rPr>
        <w:t>391</w:t>
      </w:r>
      <w:r>
        <w:rPr/>
        <w:t>, 238–239.</w:t>
      </w:r>
      <w:bookmarkEnd w:id="66"/>
    </w:p>
    <w:p>
      <w:pPr>
        <w:pStyle w:val="Bibliography"/>
        <w:rPr/>
      </w:pPr>
      <w:bookmarkStart w:id="67"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67"/>
    </w:p>
    <w:p>
      <w:pPr>
        <w:pStyle w:val="Bibliography"/>
        <w:rPr/>
      </w:pPr>
      <w:bookmarkStart w:id="68"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68"/>
    </w:p>
    <w:p>
      <w:pPr>
        <w:pStyle w:val="Bibliography"/>
        <w:rPr/>
      </w:pPr>
      <w:bookmarkStart w:id="69"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69"/>
    </w:p>
    <w:p>
      <w:pPr>
        <w:pStyle w:val="Bibliography"/>
        <w:rPr/>
      </w:pPr>
      <w:bookmarkStart w:id="70"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70"/>
    </w:p>
    <w:p>
      <w:pPr>
        <w:pStyle w:val="Bibliography"/>
        <w:rPr/>
      </w:pPr>
      <w:bookmarkStart w:id="71"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71"/>
    </w:p>
    <w:p>
      <w:pPr>
        <w:pStyle w:val="Bibliography"/>
        <w:rPr/>
      </w:pPr>
      <w:bookmarkStart w:id="72"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72"/>
    </w:p>
    <w:p>
      <w:pPr>
        <w:pStyle w:val="Bibliography"/>
        <w:rPr/>
      </w:pPr>
      <w:bookmarkStart w:id="73"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73"/>
    </w:p>
    <w:p>
      <w:pPr>
        <w:pStyle w:val="Bibliography"/>
        <w:rPr/>
      </w:pPr>
      <w:bookmarkStart w:id="74"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74"/>
    </w:p>
    <w:p>
      <w:pPr>
        <w:pStyle w:val="Bibliography"/>
        <w:rPr/>
      </w:pPr>
      <w:bookmarkStart w:id="75"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75"/>
    </w:p>
    <w:p>
      <w:pPr>
        <w:pStyle w:val="Bibliography"/>
        <w:rPr/>
      </w:pPr>
      <w:bookmarkStart w:id="76" w:name="ref-caradonna2021seeing"/>
      <w:r>
        <w:rPr/>
        <w:t xml:space="preserve">CaraDonna, P.J., Burkle, L.A., Schwarz, B., Resasco, J., Knight, T.M., Benadi, G., Blüthgen, N., Dormann, C.F., Fang, Q., Fründ, J. &amp; others. (2021). Seeing through the static: The temporal dimension of plant–animal mutualistic interactions. </w:t>
      </w:r>
      <w:r>
        <w:rPr>
          <w:i/>
          <w:iCs/>
        </w:rPr>
        <w:t>Ecology Letters</w:t>
      </w:r>
      <w:r>
        <w:rPr/>
        <w:t xml:space="preserve">, </w:t>
      </w:r>
      <w:r>
        <w:rPr>
          <w:b/>
          <w:bCs/>
        </w:rPr>
        <w:t>24</w:t>
      </w:r>
      <w:r>
        <w:rPr/>
        <w:t>, 149–161.</w:t>
      </w:r>
      <w:bookmarkEnd w:id="76"/>
    </w:p>
    <w:p>
      <w:pPr>
        <w:pStyle w:val="Bibliography"/>
        <w:rPr/>
      </w:pPr>
      <w:bookmarkStart w:id="77"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77"/>
    </w:p>
    <w:p>
      <w:pPr>
        <w:pStyle w:val="Bibliography"/>
        <w:rPr/>
      </w:pPr>
      <w:bookmarkStart w:id="78"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78"/>
    </w:p>
    <w:p>
      <w:pPr>
        <w:pStyle w:val="Bibliography"/>
        <w:rPr/>
      </w:pPr>
      <w:bookmarkStart w:id="79"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79"/>
    </w:p>
    <w:p>
      <w:pPr>
        <w:pStyle w:val="Bibliography"/>
        <w:rPr/>
      </w:pPr>
      <w:bookmarkStart w:id="80"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36">
        <w:r>
          <w:rPr>
            <w:rStyle w:val="InternetLink"/>
          </w:rPr>
          <w:t>https://doi.org/10.1093/gigascience/giy013</w:t>
        </w:r>
      </w:hyperlink>
      <w:bookmarkEnd w:id="80"/>
    </w:p>
    <w:p>
      <w:pPr>
        <w:pStyle w:val="Bibliography"/>
        <w:rPr/>
      </w:pPr>
      <w:bookmarkStart w:id="81" w:name="ref-coissac2016barcodes"/>
      <w:r>
        <w:rPr/>
        <w:t>Coissac, E., Hollingsworth, P.M., Lavergne, S. &amp; Taberlet, P. (2016). From barcodes to genomes: Extending the concept of DNA barcoding.</w:t>
      </w:r>
      <w:bookmarkEnd w:id="81"/>
    </w:p>
    <w:p>
      <w:pPr>
        <w:pStyle w:val="Bibliography"/>
        <w:rPr/>
      </w:pPr>
      <w:bookmarkStart w:id="82"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82"/>
    </w:p>
    <w:p>
      <w:pPr>
        <w:pStyle w:val="Bibliography"/>
        <w:rPr/>
      </w:pPr>
      <w:bookmarkStart w:id="83"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83"/>
    </w:p>
    <w:p>
      <w:pPr>
        <w:pStyle w:val="Bibliography"/>
        <w:rPr/>
      </w:pPr>
      <w:bookmarkStart w:id="84" w:name="ref-cooke1976arroyos"/>
      <w:r>
        <w:rPr/>
        <w:t xml:space="preserve">Cooke, R.U. &amp; Reeves, R.W. (1976). </w:t>
      </w:r>
      <w:r>
        <w:rPr>
          <w:i/>
          <w:iCs/>
        </w:rPr>
        <w:t>Arroyos and environmental change in the american south-west</w:t>
      </w:r>
      <w:r>
        <w:rPr/>
        <w:t>. Clarendon Press.</w:t>
      </w:r>
      <w:bookmarkEnd w:id="84"/>
    </w:p>
    <w:p>
      <w:pPr>
        <w:pStyle w:val="Bibliography"/>
        <w:rPr/>
      </w:pPr>
      <w:bookmarkStart w:id="85"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85"/>
    </w:p>
    <w:p>
      <w:pPr>
        <w:pStyle w:val="Bibliography"/>
        <w:rPr/>
      </w:pPr>
      <w:bookmarkStart w:id="86"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86"/>
    </w:p>
    <w:p>
      <w:pPr>
        <w:pStyle w:val="Bibliography"/>
        <w:rPr/>
      </w:pPr>
      <w:bookmarkStart w:id="87" w:name="ref-dahl1990wetlands"/>
      <w:r>
        <w:rPr/>
        <w:t xml:space="preserve">Dahl, T.E. (1990). </w:t>
      </w:r>
      <w:r>
        <w:rPr>
          <w:i/>
          <w:iCs/>
        </w:rPr>
        <w:t>Wetlands losses in the united states, 1780’s to 1980’s</w:t>
      </w:r>
      <w:r>
        <w:rPr/>
        <w:t>. US Department of the Interior, Fish; Wildlife Service.</w:t>
      </w:r>
      <w:bookmarkEnd w:id="87"/>
    </w:p>
    <w:p>
      <w:pPr>
        <w:pStyle w:val="Bibliography"/>
        <w:rPr/>
      </w:pPr>
      <w:bookmarkStart w:id="88" w:name="ref-davis2022new"/>
      <w:r>
        <w:rPr/>
        <w:t xml:space="preserve">Davis, C.C., Lyra, G.M., Park, D.S., Asprino, R., Maruyama, R., Torquato, D., Cook, B.I. &amp; Ellison, A.M. (2022). New directions in tropical phenology. </w:t>
      </w:r>
      <w:r>
        <w:rPr>
          <w:i/>
          <w:iCs/>
        </w:rPr>
        <w:t>Trends in Ecology &amp; Evolution</w:t>
      </w:r>
      <w:r>
        <w:rPr/>
        <w:t>.</w:t>
      </w:r>
      <w:bookmarkEnd w:id="88"/>
    </w:p>
    <w:p>
      <w:pPr>
        <w:pStyle w:val="Bibliography"/>
        <w:rPr/>
      </w:pPr>
      <w:bookmarkStart w:id="89"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89"/>
    </w:p>
    <w:p>
      <w:pPr>
        <w:pStyle w:val="Bibliography"/>
        <w:rPr/>
      </w:pPr>
      <w:bookmarkStart w:id="90"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90"/>
    </w:p>
    <w:p>
      <w:pPr>
        <w:pStyle w:val="Bibliography"/>
        <w:rPr/>
      </w:pPr>
      <w:bookmarkStart w:id="91"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91"/>
    </w:p>
    <w:p>
      <w:pPr>
        <w:pStyle w:val="Bibliography"/>
        <w:rPr/>
      </w:pPr>
      <w:bookmarkStart w:id="92"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92"/>
    </w:p>
    <w:p>
      <w:pPr>
        <w:pStyle w:val="Bibliography"/>
        <w:rPr/>
      </w:pPr>
      <w:bookmarkStart w:id="93"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93"/>
    </w:p>
    <w:p>
      <w:pPr>
        <w:pStyle w:val="Bibliography"/>
        <w:rPr/>
      </w:pPr>
      <w:bookmarkStart w:id="94" w:name="ref-feng2022review"/>
      <w:r>
        <w:rPr/>
        <w:t xml:space="preserve">Feng, X., Enquist, B.J., Park, D.S., Boyle, B., Breshears, D.D., Gallagher, R.V., Lien, A., Newman, E.A., Burger, J.R., Maitner, B.S. &amp; others. (2022). A review of the heterogeneous landscape of biodiversity databases: Opportunities and challenges for a synthesized biodiversity knowledge base. </w:t>
      </w:r>
      <w:r>
        <w:rPr>
          <w:i/>
          <w:iCs/>
        </w:rPr>
        <w:t>Global Ecology and Biogeography</w:t>
      </w:r>
      <w:r>
        <w:rPr/>
        <w:t>.</w:t>
      </w:r>
      <w:bookmarkEnd w:id="94"/>
    </w:p>
    <w:p>
      <w:pPr>
        <w:pStyle w:val="Bibliography"/>
        <w:rPr/>
      </w:pPr>
      <w:bookmarkStart w:id="95"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95"/>
    </w:p>
    <w:p>
      <w:pPr>
        <w:pStyle w:val="Bibliography"/>
        <w:rPr/>
      </w:pPr>
      <w:bookmarkStart w:id="96" w:name="ref-flora1993flora"/>
      <w:r>
        <w:rPr/>
        <w:t xml:space="preserve">Flora of North America Editorial Committee, eds. (1993+). </w:t>
      </w:r>
      <w:r>
        <w:rPr>
          <w:i/>
          <w:iCs/>
        </w:rPr>
        <w:t>Flora of north america north of mexico [online]</w:t>
      </w:r>
      <w:r>
        <w:rPr/>
        <w:t>. Oxford University Press on Demand.</w:t>
      </w:r>
      <w:bookmarkEnd w:id="96"/>
    </w:p>
    <w:p>
      <w:pPr>
        <w:pStyle w:val="Bibliography"/>
        <w:rPr/>
      </w:pPr>
      <w:bookmarkStart w:id="97" w:name="ref-fraser2007vpc"/>
      <w:r>
        <w:rPr/>
        <w:t xml:space="preserve">Frase, Barbara A. &amp; Buck, P. (2007). Vascular Plants of the Gothic Area. Retrieved from </w:t>
      </w:r>
      <w:hyperlink r:id="rId37">
        <w:r>
          <w:rPr>
            <w:rStyle w:val="InternetLink"/>
          </w:rPr>
          <w:t>https://www.digitalrmbl.org/wp-content/uploads/2016/05/vascularplantlist_20071.pdf</w:t>
        </w:r>
      </w:hyperlink>
      <w:bookmarkEnd w:id="97"/>
    </w:p>
    <w:p>
      <w:pPr>
        <w:pStyle w:val="Bibliography"/>
        <w:rPr/>
      </w:pPr>
      <w:bookmarkStart w:id="98" w:name="ref-Gage2013HistoricalRO"/>
      <w:r>
        <w:rPr/>
        <w:t>Gage, E. &amp; Cooper, D.J. (2013). Historical range of variation assessment for wetland and riparian ecosystems, u.s. Forest service rocky mountain region</w:t>
      </w:r>
      <w:bookmarkEnd w:id="98"/>
    </w:p>
    <w:p>
      <w:pPr>
        <w:pStyle w:val="Bibliography"/>
        <w:rPr/>
      </w:pPr>
      <w:bookmarkStart w:id="99" w:name="ref-goulson2010bumblebees"/>
      <w:r>
        <w:rPr/>
        <w:t xml:space="preserve">Goulson, D. (2010). </w:t>
      </w:r>
      <w:r>
        <w:rPr>
          <w:i/>
          <w:iCs/>
        </w:rPr>
        <w:t>Bumblebees: Behaviour, ecology, and conservation</w:t>
      </w:r>
      <w:r>
        <w:rPr/>
        <w:t>. Oxford University Press on Demand.</w:t>
      </w:r>
      <w:bookmarkEnd w:id="99"/>
    </w:p>
    <w:p>
      <w:pPr>
        <w:pStyle w:val="Bibliography"/>
        <w:rPr/>
      </w:pPr>
      <w:bookmarkStart w:id="100"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100"/>
    </w:p>
    <w:p>
      <w:pPr>
        <w:pStyle w:val="Bibliography"/>
        <w:rPr/>
      </w:pPr>
      <w:bookmarkStart w:id="101"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101"/>
    </w:p>
    <w:p>
      <w:pPr>
        <w:pStyle w:val="Bibliography"/>
        <w:rPr/>
      </w:pPr>
      <w:bookmarkStart w:id="102"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102"/>
    </w:p>
    <w:p>
      <w:pPr>
        <w:pStyle w:val="Bibliography"/>
        <w:rPr/>
      </w:pPr>
      <w:bookmarkStart w:id="103"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03"/>
    </w:p>
    <w:p>
      <w:pPr>
        <w:pStyle w:val="Bibliography"/>
        <w:rPr/>
      </w:pPr>
      <w:bookmarkStart w:id="104"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04"/>
    </w:p>
    <w:p>
      <w:pPr>
        <w:pStyle w:val="Bibliography"/>
        <w:rPr/>
      </w:pPr>
      <w:bookmarkStart w:id="105"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05"/>
    </w:p>
    <w:p>
      <w:pPr>
        <w:pStyle w:val="Bibliography"/>
        <w:rPr/>
      </w:pPr>
      <w:bookmarkStart w:id="106"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06"/>
    </w:p>
    <w:p>
      <w:pPr>
        <w:pStyle w:val="Bibliography"/>
        <w:rPr/>
      </w:pPr>
      <w:bookmarkStart w:id="107"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07"/>
    </w:p>
    <w:p>
      <w:pPr>
        <w:pStyle w:val="Bibliography"/>
        <w:rPr/>
      </w:pPr>
      <w:bookmarkStart w:id="108" w:name="ref-fpc2022"/>
      <w:r>
        <w:rPr/>
        <w:t xml:space="preserve">Hennig, C. (2020). </w:t>
      </w:r>
      <w:r>
        <w:rPr>
          <w:i/>
          <w:iCs/>
        </w:rPr>
        <w:t>Fpc: Flexible procedures for clustering</w:t>
      </w:r>
      <w:r>
        <w:rPr/>
        <w:t xml:space="preserve">. Retrieved from </w:t>
      </w:r>
      <w:hyperlink r:id="rId38">
        <w:r>
          <w:rPr>
            <w:rStyle w:val="InternetLink"/>
          </w:rPr>
          <w:t>https://CRAN.R-project.org/package=fpc</w:t>
        </w:r>
      </w:hyperlink>
      <w:bookmarkEnd w:id="108"/>
    </w:p>
    <w:p>
      <w:pPr>
        <w:pStyle w:val="Bibliography"/>
        <w:rPr/>
      </w:pPr>
      <w:bookmarkStart w:id="109"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09"/>
    </w:p>
    <w:p>
      <w:pPr>
        <w:pStyle w:val="Bibliography"/>
        <w:rPr/>
      </w:pPr>
      <w:bookmarkStart w:id="110" w:name="ref-hitchcock2018flora"/>
      <w:r>
        <w:rPr/>
        <w:t xml:space="preserve">Hitchcock, C.L. &amp; Cronquist, A. (2018). </w:t>
      </w:r>
      <w:r>
        <w:rPr>
          <w:i/>
          <w:iCs/>
        </w:rPr>
        <w:t>Flora of the pacific northwest: An illustrated manual</w:t>
      </w:r>
      <w:r>
        <w:rPr/>
        <w:t>. University of Washington Press.</w:t>
      </w:r>
      <w:bookmarkEnd w:id="110"/>
    </w:p>
    <w:p>
      <w:pPr>
        <w:pStyle w:val="Bibliography"/>
        <w:rPr/>
      </w:pPr>
      <w:bookmarkStart w:id="111"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11"/>
    </w:p>
    <w:p>
      <w:pPr>
        <w:pStyle w:val="Bibliography"/>
        <w:rPr/>
      </w:pPr>
      <w:bookmarkStart w:id="112" w:name="ref-inextPackage"/>
      <w:r>
        <w:rPr/>
        <w:t xml:space="preserve">Hsieh, T.C., Ma, K.H. &amp; Chao, A. (2020). </w:t>
      </w:r>
      <w:r>
        <w:rPr>
          <w:i/>
          <w:iCs/>
        </w:rPr>
        <w:t>iNEXT: Interpolation and extrapolation for species diversity</w:t>
      </w:r>
      <w:r>
        <w:rPr/>
        <w:t xml:space="preserve">. Retrieved from </w:t>
      </w:r>
      <w:hyperlink r:id="rId39">
        <w:r>
          <w:rPr>
            <w:rStyle w:val="InternetLink"/>
          </w:rPr>
          <w:t>http://chao.stat.nthu.edu.tw/wordpress/software_download/</w:t>
        </w:r>
      </w:hyperlink>
      <w:bookmarkEnd w:id="112"/>
    </w:p>
    <w:p>
      <w:pPr>
        <w:pStyle w:val="Bibliography"/>
        <w:rPr/>
      </w:pPr>
      <w:bookmarkStart w:id="113"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13"/>
    </w:p>
    <w:p>
      <w:pPr>
        <w:pStyle w:val="Bibliography"/>
        <w:rPr/>
      </w:pPr>
      <w:bookmarkStart w:id="114" w:name="ref-inouye1980effect"/>
      <w:r>
        <w:rPr/>
        <w:t xml:space="preserve">Inouye, D.W. (1980). The effect of proboscis and corolla tube lengths on patterns and rates of flower visitation by bumblebees. </w:t>
      </w:r>
      <w:r>
        <w:rPr>
          <w:i/>
          <w:iCs/>
        </w:rPr>
        <w:t>Oecologia</w:t>
      </w:r>
      <w:r>
        <w:rPr/>
        <w:t xml:space="preserve">, </w:t>
      </w:r>
      <w:r>
        <w:rPr>
          <w:b/>
          <w:bCs/>
        </w:rPr>
        <w:t>45</w:t>
      </w:r>
      <w:r>
        <w:rPr/>
        <w:t>, 197–201.</w:t>
      </w:r>
      <w:bookmarkEnd w:id="114"/>
    </w:p>
    <w:p>
      <w:pPr>
        <w:pStyle w:val="Bibliography"/>
        <w:rPr/>
      </w:pPr>
      <w:bookmarkStart w:id="115"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15"/>
    </w:p>
    <w:p>
      <w:pPr>
        <w:pStyle w:val="Bibliography"/>
        <w:rPr/>
      </w:pPr>
      <w:bookmarkStart w:id="116"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16"/>
    </w:p>
    <w:p>
      <w:pPr>
        <w:pStyle w:val="Bibliography"/>
        <w:rPr/>
      </w:pPr>
      <w:bookmarkStart w:id="117" w:name="ref-jepson2022online"/>
      <w:r>
        <w:rPr>
          <w:i/>
          <w:iCs/>
        </w:rPr>
        <w:t>Jepson flora project</w:t>
      </w:r>
      <w:r>
        <w:rPr/>
        <w:t>. (2020).</w:t>
      </w:r>
      <w:bookmarkEnd w:id="117"/>
    </w:p>
    <w:p>
      <w:pPr>
        <w:pStyle w:val="Bibliography"/>
        <w:rPr/>
      </w:pPr>
      <w:bookmarkStart w:id="118"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18"/>
    </w:p>
    <w:p>
      <w:pPr>
        <w:pStyle w:val="Bibliography"/>
        <w:rPr/>
      </w:pPr>
      <w:bookmarkStart w:id="119"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19"/>
    </w:p>
    <w:p>
      <w:pPr>
        <w:pStyle w:val="Bibliography"/>
        <w:rPr/>
      </w:pPr>
      <w:bookmarkStart w:id="120"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20"/>
    </w:p>
    <w:p>
      <w:pPr>
        <w:pStyle w:val="Bibliography"/>
        <w:rPr/>
      </w:pPr>
      <w:bookmarkStart w:id="121"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21"/>
    </w:p>
    <w:p>
      <w:pPr>
        <w:pStyle w:val="Bibliography"/>
        <w:rPr/>
      </w:pPr>
      <w:bookmarkStart w:id="122" w:name="ref-keane2002cascading"/>
      <w:r>
        <w:rPr/>
        <w:t>Keane, R.E. (2002). Cascading effects of fire exclusion in rocky mountain ecosystems: A literature review.</w:t>
      </w:r>
      <w:bookmarkEnd w:id="122"/>
    </w:p>
    <w:p>
      <w:pPr>
        <w:pStyle w:val="Bibliography"/>
        <w:rPr/>
      </w:pPr>
      <w:bookmarkStart w:id="123"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23"/>
    </w:p>
    <w:p>
      <w:pPr>
        <w:pStyle w:val="Bibliography"/>
        <w:rPr/>
      </w:pPr>
      <w:bookmarkStart w:id="124"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24"/>
    </w:p>
    <w:p>
      <w:pPr>
        <w:pStyle w:val="Bibliography"/>
        <w:rPr/>
      </w:pPr>
      <w:bookmarkStart w:id="125"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25"/>
    </w:p>
    <w:p>
      <w:pPr>
        <w:pStyle w:val="Bibliography"/>
        <w:rPr/>
      </w:pPr>
      <w:bookmarkStart w:id="126" w:name="ref-caret"/>
      <w:r>
        <w:rPr/>
        <w:t xml:space="preserve">Kuhn, M. (2022). </w:t>
      </w:r>
      <w:r>
        <w:rPr>
          <w:i/>
          <w:iCs/>
        </w:rPr>
        <w:t>Caret: Classification and regression training</w:t>
      </w:r>
      <w:r>
        <w:rPr/>
        <w:t xml:space="preserve">. Retrieved from </w:t>
      </w:r>
      <w:hyperlink r:id="rId40">
        <w:r>
          <w:rPr>
            <w:rStyle w:val="InternetLink"/>
          </w:rPr>
          <w:t>https://CRAN.R-project.org/package=caret</w:t>
        </w:r>
      </w:hyperlink>
      <w:bookmarkEnd w:id="126"/>
    </w:p>
    <w:p>
      <w:pPr>
        <w:pStyle w:val="Bibliography"/>
        <w:rPr/>
      </w:pPr>
      <w:bookmarkStart w:id="127"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27"/>
    </w:p>
    <w:p>
      <w:pPr>
        <w:pStyle w:val="Bibliography"/>
        <w:rPr/>
      </w:pPr>
      <w:bookmarkStart w:id="128" w:name="ref-aim2019database"/>
      <w:r>
        <w:rPr/>
        <w:t xml:space="preserve">Land Management, B. of. (2019). U.s. Department of interior bureau of land management, BLM - assessment, inventory, and monitoring (AIM) terrestrial indicators raw dataset. Retrieved from </w:t>
      </w:r>
      <w:hyperlink r:id="rId41">
        <w:r>
          <w:rPr>
            <w:rStyle w:val="InternetLink"/>
          </w:rPr>
          <w:t>https://gbp-blm-egis.hub.arcgis.com/pages/aim</w:t>
        </w:r>
      </w:hyperlink>
      <w:bookmarkEnd w:id="128"/>
    </w:p>
    <w:p>
      <w:pPr>
        <w:pStyle w:val="Bibliography"/>
        <w:rPr/>
      </w:pPr>
      <w:bookmarkStart w:id="129"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29"/>
    </w:p>
    <w:p>
      <w:pPr>
        <w:pStyle w:val="Bibliography"/>
        <w:rPr/>
      </w:pPr>
      <w:bookmarkStart w:id="130" w:name="ref-lesica2012manual"/>
      <w:r>
        <w:rPr/>
        <w:t xml:space="preserve">Lesica, P., Lavin, M. &amp; Stickney, P.F. (2012). </w:t>
      </w:r>
      <w:r>
        <w:rPr>
          <w:i/>
          <w:iCs/>
        </w:rPr>
        <w:t>Manual of montana vascular plants</w:t>
      </w:r>
      <w:r>
        <w:rPr/>
        <w:t>. Brit Press.</w:t>
      </w:r>
      <w:bookmarkEnd w:id="130"/>
    </w:p>
    <w:p>
      <w:pPr>
        <w:pStyle w:val="Bibliography"/>
        <w:rPr/>
      </w:pPr>
      <w:bookmarkStart w:id="131"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2">
        <w:r>
          <w:rPr>
            <w:rStyle w:val="InternetLink"/>
          </w:rPr>
          <w:t>https://www.pnas.org/doi/abs/10.1073/pnas.2115635118</w:t>
        </w:r>
      </w:hyperlink>
      <w:bookmarkEnd w:id="131"/>
    </w:p>
    <w:p>
      <w:pPr>
        <w:pStyle w:val="Bibliography"/>
        <w:rPr/>
      </w:pPr>
      <w:bookmarkStart w:id="132"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32"/>
    </w:p>
    <w:p>
      <w:pPr>
        <w:pStyle w:val="Bibliography"/>
        <w:rPr/>
      </w:pPr>
      <w:bookmarkStart w:id="133"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3">
        <w:r>
          <w:rPr>
            <w:rStyle w:val="InternetLink"/>
          </w:rPr>
          <w:t>https://www.pnas.org/doi/abs/10.1073/pnas.2115642118</w:t>
        </w:r>
      </w:hyperlink>
      <w:bookmarkEnd w:id="133"/>
    </w:p>
    <w:p>
      <w:pPr>
        <w:pStyle w:val="Bibliography"/>
        <w:rPr/>
      </w:pPr>
      <w:bookmarkStart w:id="134"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34"/>
    </w:p>
    <w:p>
      <w:pPr>
        <w:pStyle w:val="Bibliography"/>
        <w:rPr/>
      </w:pPr>
      <w:bookmarkStart w:id="135"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35"/>
    </w:p>
    <w:p>
      <w:pPr>
        <w:pStyle w:val="Bibliography"/>
        <w:rPr/>
      </w:pPr>
      <w:bookmarkStart w:id="136"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36"/>
    </w:p>
    <w:p>
      <w:pPr>
        <w:pStyle w:val="Bibliography"/>
        <w:rPr/>
      </w:pPr>
      <w:bookmarkStart w:id="137"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37"/>
    </w:p>
    <w:p>
      <w:pPr>
        <w:pStyle w:val="Bibliography"/>
        <w:rPr/>
      </w:pPr>
      <w:bookmarkStart w:id="138"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38"/>
    </w:p>
    <w:p>
      <w:pPr>
        <w:pStyle w:val="Bibliography"/>
        <w:rPr/>
      </w:pPr>
      <w:bookmarkStart w:id="139" w:name="ref-cluster2022"/>
      <w:r>
        <w:rPr/>
        <w:t xml:space="preserve">Maechler, M., Rousseeuw, P., Struyf, A., Hubert, M. &amp; Hornik, K. (2022). </w:t>
      </w:r>
      <w:r>
        <w:rPr>
          <w:i/>
          <w:iCs/>
        </w:rPr>
        <w:t>Cluster: Cluster analysis basics and extensions</w:t>
      </w:r>
      <w:r>
        <w:rPr/>
        <w:t xml:space="preserve">. Retrieved from </w:t>
      </w:r>
      <w:hyperlink r:id="rId44">
        <w:r>
          <w:rPr>
            <w:rStyle w:val="InternetLink"/>
          </w:rPr>
          <w:t>https://CRAN.R-project.org/package=cluster</w:t>
        </w:r>
      </w:hyperlink>
      <w:bookmarkEnd w:id="139"/>
    </w:p>
    <w:p>
      <w:pPr>
        <w:pStyle w:val="Bibliography"/>
        <w:rPr/>
      </w:pPr>
      <w:bookmarkStart w:id="140" w:name="ref-bien2022"/>
      <w:r>
        <w:rPr/>
        <w:t xml:space="preserve">Maitner, B. (2022). </w:t>
      </w:r>
      <w:r>
        <w:rPr>
          <w:i/>
          <w:iCs/>
        </w:rPr>
        <w:t>BIEN: Tools for accessing the botanical information and ecology network database</w:t>
      </w:r>
      <w:r>
        <w:rPr/>
        <w:t xml:space="preserve">. Retrieved from </w:t>
      </w:r>
      <w:hyperlink r:id="rId45">
        <w:r>
          <w:rPr>
            <w:rStyle w:val="InternetLink"/>
          </w:rPr>
          <w:t>https://CRAN.R-project.org/package=BIEN</w:t>
        </w:r>
      </w:hyperlink>
      <w:bookmarkEnd w:id="140"/>
    </w:p>
    <w:p>
      <w:pPr>
        <w:pStyle w:val="Bibliography"/>
        <w:rPr/>
      </w:pPr>
      <w:bookmarkStart w:id="141"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41"/>
    </w:p>
    <w:p>
      <w:pPr>
        <w:pStyle w:val="Bibliography"/>
        <w:rPr/>
      </w:pPr>
      <w:bookmarkStart w:id="142"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42"/>
    </w:p>
    <w:p>
      <w:pPr>
        <w:pStyle w:val="Bibliography"/>
        <w:rPr/>
      </w:pPr>
      <w:bookmarkStart w:id="143" w:name="ref-mohlenbrock2002vascular"/>
      <w:r>
        <w:rPr/>
        <w:t xml:space="preserve">Mohlenbrock, R.H. (2002). </w:t>
      </w:r>
      <w:r>
        <w:rPr>
          <w:i/>
          <w:iCs/>
        </w:rPr>
        <w:t>Vascular flora of illinois</w:t>
      </w:r>
      <w:r>
        <w:rPr/>
        <w:t>. SIU Press.</w:t>
      </w:r>
      <w:bookmarkEnd w:id="143"/>
    </w:p>
    <w:p>
      <w:pPr>
        <w:pStyle w:val="Bibliography"/>
        <w:rPr/>
      </w:pPr>
      <w:bookmarkStart w:id="144"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44"/>
    </w:p>
    <w:p>
      <w:pPr>
        <w:pStyle w:val="Bibliography"/>
        <w:rPr/>
      </w:pPr>
      <w:bookmarkStart w:id="145" w:name="ref-sdmPackage"/>
      <w:r>
        <w:rPr/>
        <w:t xml:space="preserve">Naimi, B. &amp; Araujo, M.B. (2016). </w:t>
      </w:r>
      <w:hyperlink r:id="rId46">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45"/>
    </w:p>
    <w:p>
      <w:pPr>
        <w:pStyle w:val="Bibliography"/>
        <w:rPr/>
      </w:pPr>
      <w:bookmarkStart w:id="146" w:name="ref-usdm2014"/>
      <w:r>
        <w:rPr/>
        <w:t xml:space="preserve">Naimi, B., Hamm, N. a.s., Groen, T.A., Skidmore, A.K. &amp; Toxopeus, A.G. (2014). </w:t>
      </w:r>
      <w:hyperlink r:id="rId47">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46"/>
    </w:p>
    <w:p>
      <w:pPr>
        <w:pStyle w:val="Bibliography"/>
        <w:rPr/>
      </w:pPr>
      <w:bookmarkStart w:id="147"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47"/>
    </w:p>
    <w:p>
      <w:pPr>
        <w:pStyle w:val="Bibliography"/>
        <w:rPr/>
      </w:pPr>
      <w:bookmarkStart w:id="148"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48"/>
    </w:p>
    <w:p>
      <w:pPr>
        <w:pStyle w:val="Bibliography"/>
        <w:rPr/>
      </w:pPr>
      <w:bookmarkStart w:id="149"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49"/>
    </w:p>
    <w:p>
      <w:pPr>
        <w:pStyle w:val="Bibliography"/>
        <w:rPr/>
      </w:pPr>
      <w:bookmarkStart w:id="150" w:name="ref-oberhauser2015monarchs"/>
      <w:r>
        <w:rPr/>
        <w:t xml:space="preserve">Oberhauser, K.S., Nail, K.R. &amp; Altizer, S. (2015). </w:t>
      </w:r>
      <w:r>
        <w:rPr>
          <w:i/>
          <w:iCs/>
        </w:rPr>
        <w:t>Monarchs in a changing world: Biology and conservation of an iconic butterfly</w:t>
      </w:r>
      <w:r>
        <w:rPr/>
        <w:t>. Cornell University Press.</w:t>
      </w:r>
      <w:bookmarkEnd w:id="150"/>
    </w:p>
    <w:p>
      <w:pPr>
        <w:pStyle w:val="Bibliography"/>
        <w:rPr/>
      </w:pPr>
      <w:bookmarkStart w:id="151" w:name="ref-gbifDL2021sdms"/>
      <w:r>
        <w:rPr/>
        <w:t xml:space="preserve">Occdownload Gbif.Org. (2021). Occurrence download. Retrieved from </w:t>
      </w:r>
      <w:hyperlink r:id="rId48">
        <w:r>
          <w:rPr>
            <w:rStyle w:val="InternetLink"/>
          </w:rPr>
          <w:t>https://www.gbif.org/occurrence/download/0206948-200613084148143</w:t>
        </w:r>
      </w:hyperlink>
      <w:bookmarkEnd w:id="151"/>
    </w:p>
    <w:p>
      <w:pPr>
        <w:pStyle w:val="Bibliography"/>
        <w:rPr/>
      </w:pPr>
      <w:bookmarkStart w:id="152"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49">
        <w:r>
          <w:rPr>
            <w:rStyle w:val="InternetLink"/>
          </w:rPr>
          <w:t>https://CRAN.R-project.org/package=vegan</w:t>
        </w:r>
      </w:hyperlink>
      <w:bookmarkEnd w:id="152"/>
    </w:p>
    <w:p>
      <w:pPr>
        <w:pStyle w:val="Bibliography"/>
        <w:rPr/>
      </w:pPr>
      <w:bookmarkStart w:id="153"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53"/>
    </w:p>
    <w:p>
      <w:pPr>
        <w:pStyle w:val="Bibliography"/>
        <w:rPr/>
      </w:pPr>
      <w:bookmarkStart w:id="154"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54"/>
    </w:p>
    <w:p>
      <w:pPr>
        <w:pStyle w:val="Bibliography"/>
        <w:rPr/>
      </w:pPr>
      <w:bookmarkStart w:id="155"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55"/>
    </w:p>
    <w:p>
      <w:pPr>
        <w:pStyle w:val="Bibliography"/>
        <w:rPr/>
      </w:pPr>
      <w:bookmarkStart w:id="156"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56"/>
    </w:p>
    <w:p>
      <w:pPr>
        <w:pStyle w:val="Bibliography"/>
        <w:rPr/>
      </w:pPr>
      <w:bookmarkStart w:id="157"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57"/>
    </w:p>
    <w:p>
      <w:pPr>
        <w:pStyle w:val="Bibliography"/>
        <w:rPr/>
      </w:pPr>
      <w:bookmarkStart w:id="158"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58"/>
    </w:p>
    <w:p>
      <w:pPr>
        <w:pStyle w:val="Bibliography"/>
        <w:rPr/>
      </w:pPr>
      <w:bookmarkStart w:id="159"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59"/>
    </w:p>
    <w:p>
      <w:pPr>
        <w:pStyle w:val="Bibliography"/>
        <w:rPr/>
      </w:pPr>
      <w:bookmarkStart w:id="160"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60"/>
    </w:p>
    <w:p>
      <w:pPr>
        <w:pStyle w:val="Bibliography"/>
        <w:rPr/>
      </w:pPr>
      <w:bookmarkStart w:id="161" w:name="ref-pleasants1980competition"/>
      <w:r>
        <w:rPr/>
        <w:t xml:space="preserve">Pleasants, J.M. (1980). Competition for bumblebee pollinators in rocky mountain plant communities. </w:t>
      </w:r>
      <w:r>
        <w:rPr>
          <w:i/>
          <w:iCs/>
        </w:rPr>
        <w:t>Ecology</w:t>
      </w:r>
      <w:r>
        <w:rPr/>
        <w:t xml:space="preserve">, </w:t>
      </w:r>
      <w:r>
        <w:rPr>
          <w:b/>
          <w:bCs/>
        </w:rPr>
        <w:t>61</w:t>
      </w:r>
      <w:r>
        <w:rPr/>
        <w:t>, 1446–1459.</w:t>
      </w:r>
      <w:bookmarkEnd w:id="161"/>
    </w:p>
    <w:p>
      <w:pPr>
        <w:pStyle w:val="Bibliography"/>
        <w:rPr/>
      </w:pPr>
      <w:bookmarkStart w:id="162"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62"/>
    </w:p>
    <w:p>
      <w:pPr>
        <w:pStyle w:val="Bibliography"/>
        <w:rPr/>
      </w:pPr>
      <w:bookmarkStart w:id="163"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63"/>
    </w:p>
    <w:p>
      <w:pPr>
        <w:pStyle w:val="Bibliography"/>
        <w:rPr/>
      </w:pPr>
      <w:bookmarkStart w:id="164"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64"/>
    </w:p>
    <w:p>
      <w:pPr>
        <w:pStyle w:val="Bibliography"/>
        <w:rPr/>
      </w:pPr>
      <w:bookmarkStart w:id="165"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65"/>
    </w:p>
    <w:p>
      <w:pPr>
        <w:pStyle w:val="Bibliography"/>
        <w:rPr/>
      </w:pPr>
      <w:bookmarkStart w:id="166"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66"/>
    </w:p>
    <w:p>
      <w:pPr>
        <w:pStyle w:val="Bibliography"/>
        <w:rPr/>
      </w:pPr>
      <w:bookmarkStart w:id="167"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67"/>
    </w:p>
    <w:p>
      <w:pPr>
        <w:pStyle w:val="Bibliography"/>
        <w:rPr/>
      </w:pPr>
      <w:bookmarkStart w:id="168"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68"/>
    </w:p>
    <w:p>
      <w:pPr>
        <w:pStyle w:val="Bibliography"/>
        <w:rPr/>
      </w:pPr>
      <w:bookmarkStart w:id="169"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69"/>
    </w:p>
    <w:p>
      <w:pPr>
        <w:pStyle w:val="Bibliography"/>
        <w:rPr/>
      </w:pPr>
      <w:bookmarkStart w:id="170"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70"/>
    </w:p>
    <w:p>
      <w:pPr>
        <w:pStyle w:val="Bibliography"/>
        <w:rPr/>
      </w:pPr>
      <w:bookmarkStart w:id="171"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71"/>
    </w:p>
    <w:p>
      <w:pPr>
        <w:pStyle w:val="Bibliography"/>
        <w:rPr/>
      </w:pPr>
      <w:bookmarkStart w:id="172"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72"/>
    </w:p>
    <w:p>
      <w:pPr>
        <w:pStyle w:val="Bibliography"/>
        <w:rPr/>
      </w:pPr>
      <w:bookmarkStart w:id="173"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73"/>
    </w:p>
    <w:p>
      <w:pPr>
        <w:pStyle w:val="Bibliography"/>
        <w:rPr/>
      </w:pPr>
      <w:bookmarkStart w:id="174"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74"/>
    </w:p>
    <w:p>
      <w:pPr>
        <w:pStyle w:val="Bibliography"/>
        <w:rPr/>
      </w:pPr>
      <w:bookmarkStart w:id="175"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75"/>
    </w:p>
    <w:p>
      <w:pPr>
        <w:pStyle w:val="Bibliography"/>
        <w:rPr/>
      </w:pPr>
      <w:bookmarkStart w:id="176"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76"/>
    </w:p>
    <w:p>
      <w:pPr>
        <w:pStyle w:val="Bibliography"/>
        <w:rPr/>
      </w:pPr>
      <w:bookmarkStart w:id="177" w:name="ref-soltis2017digitization"/>
      <w:r>
        <w:rPr/>
        <w:t>Soltis, P.S. (2017). Digitization of herbaria enables novel research.</w:t>
      </w:r>
      <w:bookmarkEnd w:id="177"/>
    </w:p>
    <w:p>
      <w:pPr>
        <w:pStyle w:val="Bibliography"/>
        <w:rPr/>
      </w:pPr>
      <w:bookmarkStart w:id="178"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78"/>
    </w:p>
    <w:p>
      <w:pPr>
        <w:pStyle w:val="Bibliography"/>
        <w:rPr/>
      </w:pPr>
      <w:bookmarkStart w:id="179"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79"/>
    </w:p>
    <w:p>
      <w:pPr>
        <w:pStyle w:val="Bibliography"/>
        <w:rPr/>
      </w:pPr>
      <w:bookmarkStart w:id="180"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80"/>
    </w:p>
    <w:p>
      <w:pPr>
        <w:pStyle w:val="Bibliography"/>
        <w:rPr/>
      </w:pPr>
      <w:bookmarkStart w:id="181"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81"/>
    </w:p>
    <w:p>
      <w:pPr>
        <w:pStyle w:val="Bibliography"/>
        <w:rPr/>
      </w:pPr>
      <w:bookmarkStart w:id="182" w:name="ref-tange_2022_6377950"/>
      <w:r>
        <w:rPr/>
        <w:t xml:space="preserve">Tange, O. (2021). GNU parallel 20220322 (savannah). Retrieved from </w:t>
      </w:r>
      <w:hyperlink r:id="rId50">
        <w:r>
          <w:rPr>
            <w:rStyle w:val="InternetLink"/>
          </w:rPr>
          <w:t>https://doi.org/10.5281/zenodo.6377950</w:t>
        </w:r>
      </w:hyperlink>
      <w:bookmarkEnd w:id="182"/>
    </w:p>
    <w:p>
      <w:pPr>
        <w:pStyle w:val="Bibliography"/>
        <w:rPr/>
      </w:pPr>
      <w:bookmarkStart w:id="183"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83"/>
    </w:p>
    <w:p>
      <w:pPr>
        <w:pStyle w:val="Bibliography"/>
        <w:rPr/>
      </w:pPr>
      <w:bookmarkStart w:id="184"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84"/>
    </w:p>
    <w:p>
      <w:pPr>
        <w:pStyle w:val="Bibliography"/>
        <w:rPr/>
      </w:pPr>
      <w:bookmarkStart w:id="185"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85"/>
    </w:p>
    <w:p>
      <w:pPr>
        <w:pStyle w:val="Bibliography"/>
        <w:rPr/>
      </w:pPr>
      <w:bookmarkStart w:id="186"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86"/>
    </w:p>
    <w:p>
      <w:pPr>
        <w:pStyle w:val="Bibliography"/>
        <w:rPr/>
      </w:pPr>
      <w:bookmarkStart w:id="187"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1">
        <w:r>
          <w:rPr>
            <w:rStyle w:val="InternetLink"/>
          </w:rPr>
          <w:t>https://doi.org/10.1080/00218839.1982.11100549</w:t>
        </w:r>
      </w:hyperlink>
      <w:bookmarkEnd w:id="187"/>
    </w:p>
    <w:p>
      <w:pPr>
        <w:pStyle w:val="Bibliography"/>
        <w:rPr/>
      </w:pPr>
      <w:bookmarkStart w:id="188"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88"/>
    </w:p>
    <w:p>
      <w:pPr>
        <w:pStyle w:val="Bibliography"/>
        <w:rPr/>
      </w:pPr>
      <w:bookmarkStart w:id="189"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89"/>
    </w:p>
    <w:p>
      <w:pPr>
        <w:pStyle w:val="Bibliography"/>
        <w:rPr/>
      </w:pPr>
      <w:bookmarkStart w:id="190"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90"/>
    </w:p>
    <w:p>
      <w:pPr>
        <w:pStyle w:val="Bibliography"/>
        <w:rPr/>
      </w:pPr>
      <w:bookmarkStart w:id="191"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91"/>
    </w:p>
    <w:p>
      <w:pPr>
        <w:pStyle w:val="Bibliography"/>
        <w:spacing w:before="0" w:after="200"/>
        <w:rPr/>
      </w:pPr>
      <w:bookmarkStart w:id="192"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2">
        <w:r>
          <w:rPr>
            <w:rStyle w:val="InternetLink"/>
          </w:rPr>
          <w:t>https://onlinelibrary.wiley.com/doi/abs/10.1111/oik.05262</w:t>
        </w:r>
      </w:hyperlink>
      <w:bookmarkEnd w:id="42"/>
      <w:bookmarkEnd w:id="43"/>
      <w:bookmarkEnd w:id="44"/>
      <w:bookmarkEnd w:id="192"/>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1"/>
    <w:lvlOverride w:ilvl="0">
      <w:startOverride w:val="1"/>
    </w:lvlOverride>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lang w:val="zxx" w:eastAsia="zxx" w:bidi="zxx"/>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orcid.org/0000-0003-3517-9090" TargetMode="External"/><Relationship Id="rId7" Type="http://schemas.openxmlformats.org/officeDocument/2006/relationships/hyperlink" Target="https://orcid.org/0000-0001-9276-1111" TargetMode="External"/><Relationship Id="rId8" Type="http://schemas.openxmlformats.org/officeDocument/2006/relationships/hyperlink" Target="https://orcid.org/0000-0001-8546-0417" TargetMode="External"/><Relationship Id="rId9" Type="http://schemas.openxmlformats.org/officeDocument/2006/relationships/hyperlink" Target="https://orcid.org/0000-0002-7789-1417"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hyperlink" Target="https://onlinelibrary.wiley.com/doi/abs/10.1111/j.1600-0706.2009.17694.x" TargetMode="External"/><Relationship Id="rId33" Type="http://schemas.openxmlformats.org/officeDocument/2006/relationships/hyperlink" Target="https://doi.org/10.1093/sysbio/syab035" TargetMode="External"/><Relationship Id="rId34" Type="http://schemas.openxmlformats.org/officeDocument/2006/relationships/hyperlink" Target="https://doi.org/10.1002/ajb2.1703" TargetMode="External"/><Relationship Id="rId35" Type="http://schemas.openxmlformats.org/officeDocument/2006/relationships/hyperlink" Target="https://doi.org/10.1093/aobpla/plab062" TargetMode="External"/><Relationship Id="rId36" Type="http://schemas.openxmlformats.org/officeDocument/2006/relationships/hyperlink" Target="https://doi.org/10.1093/gigascience/giy013" TargetMode="External"/><Relationship Id="rId37" Type="http://schemas.openxmlformats.org/officeDocument/2006/relationships/hyperlink" Target="https://www.digitalrmbl.org/wp-content/uploads/2016/05/vascularplantlist_20071.pdf" TargetMode="External"/><Relationship Id="rId38" Type="http://schemas.openxmlformats.org/officeDocument/2006/relationships/hyperlink" Target="https://CRAN.R-project.org/package=fpc" TargetMode="External"/><Relationship Id="rId39" Type="http://schemas.openxmlformats.org/officeDocument/2006/relationships/hyperlink" Target="http://chao.stat.nthu.edu.tw/wordpress/software_download/" TargetMode="External"/><Relationship Id="rId40" Type="http://schemas.openxmlformats.org/officeDocument/2006/relationships/hyperlink" Target="https://CRAN.R-project.org/package=caret" TargetMode="External"/><Relationship Id="rId41" Type="http://schemas.openxmlformats.org/officeDocument/2006/relationships/hyperlink" Target="https://gbp-blm-egis.hub.arcgis.com/pages/aim" TargetMode="External"/><Relationship Id="rId42" Type="http://schemas.openxmlformats.org/officeDocument/2006/relationships/hyperlink" Target="https://www.pnas.org/doi/abs/10.1073/pnas.2115635118" TargetMode="External"/><Relationship Id="rId43" Type="http://schemas.openxmlformats.org/officeDocument/2006/relationships/hyperlink" Target="https://www.pnas.org/doi/abs/10.1073/pnas.2115642118" TargetMode="External"/><Relationship Id="rId44" Type="http://schemas.openxmlformats.org/officeDocument/2006/relationships/hyperlink" Target="https://CRAN.R-project.org/package=cluster" TargetMode="External"/><Relationship Id="rId45" Type="http://schemas.openxmlformats.org/officeDocument/2006/relationships/hyperlink" Target="https://CRAN.R-project.org/package=BIEN" TargetMode="External"/><Relationship Id="rId46" Type="http://schemas.openxmlformats.org/officeDocument/2006/relationships/hyperlink" Target="https://doi.org/10.1111/ecog.01881" TargetMode="External"/><Relationship Id="rId47" Type="http://schemas.openxmlformats.org/officeDocument/2006/relationships/hyperlink" Target="https://doi.org/10.1111/j.1600-0587.2013.00205.x" TargetMode="External"/><Relationship Id="rId48" Type="http://schemas.openxmlformats.org/officeDocument/2006/relationships/hyperlink" Target="https://www.gbif.org/occurrence/download/0206948-200613084148143" TargetMode="External"/><Relationship Id="rId49" Type="http://schemas.openxmlformats.org/officeDocument/2006/relationships/hyperlink" Target="https://CRAN.R-project.org/package=vegan" TargetMode="External"/><Relationship Id="rId50" Type="http://schemas.openxmlformats.org/officeDocument/2006/relationships/hyperlink" Target="https://doi.org/10.5281/zenodo.6377950" TargetMode="External"/><Relationship Id="rId51" Type="http://schemas.openxmlformats.org/officeDocument/2006/relationships/hyperlink" Target="https://doi.org/10.1080/00218839.1982.11100549" TargetMode="External"/><Relationship Id="rId52" Type="http://schemas.openxmlformats.org/officeDocument/2006/relationships/hyperlink" Target="https://onlinelibrary.wiley.com/doi/abs/10.1111/oik.05262" TargetMode="Externa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LibreOffice/7.3.7.2$Linux_X86_64 LibreOffice_project/30$Build-2</Application>
  <AppVersion>15.0000</AppVersion>
  <Pages>59</Pages>
  <Words>13485</Words>
  <Characters>75585</Characters>
  <CharactersWithSpaces>88625</CharactersWithSpaces>
  <Paragraphs>382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2023-01-17T03:17:56Z</dcterms:created>
  <dc:creator/>
  <dc:description/>
  <dc:language>en-US</dc:language>
  <cp:lastModifiedBy/>
  <dcterms:modified xsi:type="dcterms:W3CDTF">2023-01-16T21:19:55Z</dcterms:modified>
  <cp:revision>1</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remarkably successful in nearly all kingdoms of life and has allowed for the rapid analysis of ecological assemblages. Successful DNA barcoding in the plant kingdom has been more difficult than other kingdoms. Due to this understanding plants in ecological contexts and understandings of their synecology in some instances may begin to lag behind other kingdoms. Here we utilize hyb-seq, museum studies, and species distribution modelling, to detect the plant species present in pollen loads collected from Queen Bumble Bees. By utilizing Species distribution modelling we allow for one to process hyb-seq data, create user specified sequence databases which may use MORE ACCURATE alignment algorithms on personal computers over realistic time periods. We show that hyb-seq using the Angiosperms 353 probes, which are currently being used in the largest ever plant systematic endeavor, offers significant promise to metagenomic approaches in real world scenarios. We conclude that these probes offer promise for the identification of plant tissue in both single sample, and metasample contexts.</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